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372E5" w14:textId="77777777" w:rsidR="00FB4BD6" w:rsidRDefault="00FB4BD6" w:rsidP="000D2708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spacing w:line="120" w:lineRule="auto"/>
        <w:ind w:left="2880" w:right="187" w:hanging="3067"/>
        <w:jc w:val="both"/>
        <w:rPr>
          <w:u w:val="single"/>
        </w:rPr>
      </w:pPr>
    </w:p>
    <w:tbl>
      <w:tblPr>
        <w:tblpPr w:leftFromText="180" w:rightFromText="180" w:vertAnchor="text" w:tblpX="-35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5"/>
        <w:gridCol w:w="3156"/>
        <w:gridCol w:w="315"/>
        <w:gridCol w:w="1540"/>
        <w:gridCol w:w="2874"/>
      </w:tblGrid>
      <w:tr w:rsidR="000D2708" w14:paraId="181C52F7" w14:textId="77777777" w:rsidTr="00543B0B">
        <w:trPr>
          <w:trHeight w:val="312"/>
        </w:trPr>
        <w:tc>
          <w:tcPr>
            <w:tcW w:w="4821" w:type="dxa"/>
            <w:gridSpan w:val="2"/>
            <w:vMerge w:val="restart"/>
          </w:tcPr>
          <w:p w14:paraId="568B8824" w14:textId="333FA9C6" w:rsidR="00D67665" w:rsidRPr="00E4679F" w:rsidRDefault="00CE16FE" w:rsidP="0009283B">
            <w:pPr>
              <w:ind w:right="180"/>
              <w:rPr>
                <w:rFonts w:ascii="Verdana" w:hAnsi="Verdana"/>
                <w:b/>
                <w:i/>
                <w:color w:val="0000FF"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noProof/>
                <w:color w:val="0000FF"/>
                <w:sz w:val="18"/>
                <w:szCs w:val="18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2C60F290" wp14:editId="023DA4E5">
                  <wp:simplePos x="0" y="0"/>
                  <wp:positionH relativeFrom="column">
                    <wp:posOffset>141757</wp:posOffset>
                  </wp:positionH>
                  <wp:positionV relativeFrom="paragraph">
                    <wp:posOffset>41811</wp:posOffset>
                  </wp:positionV>
                  <wp:extent cx="2649803" cy="73152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ullColorLogo_Taglin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803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22" w:type="dxa"/>
            <w:gridSpan w:val="3"/>
            <w:vAlign w:val="center"/>
          </w:tcPr>
          <w:p w14:paraId="41F2BBD3" w14:textId="77777777" w:rsidR="000D2708" w:rsidRPr="00E4679F" w:rsidRDefault="00873589" w:rsidP="00CC0306">
            <w:pPr>
              <w:ind w:right="180"/>
              <w:rPr>
                <w:b/>
                <w:i/>
                <w:color w:val="548DD4" w:themeColor="text2" w:themeTint="99"/>
                <w:sz w:val="20"/>
                <w:szCs w:val="20"/>
              </w:rPr>
            </w:pPr>
            <w:r w:rsidRPr="00E4679F">
              <w:rPr>
                <w:b/>
                <w:i/>
                <w:color w:val="548DD4" w:themeColor="text2" w:themeTint="99"/>
                <w:sz w:val="20"/>
                <w:szCs w:val="20"/>
              </w:rPr>
              <w:t>1</w:t>
            </w:r>
            <w:r w:rsidR="00A808A7" w:rsidRPr="00E4679F">
              <w:rPr>
                <w:b/>
                <w:i/>
                <w:color w:val="548DD4" w:themeColor="text2" w:themeTint="99"/>
                <w:sz w:val="20"/>
                <w:szCs w:val="20"/>
              </w:rPr>
              <w:t>329 E KEMPER RD, SUITE 4210</w:t>
            </w:r>
          </w:p>
        </w:tc>
      </w:tr>
      <w:tr w:rsidR="000D2708" w14:paraId="2CC1D981" w14:textId="77777777" w:rsidTr="00543B0B">
        <w:trPr>
          <w:trHeight w:val="311"/>
        </w:trPr>
        <w:tc>
          <w:tcPr>
            <w:tcW w:w="4821" w:type="dxa"/>
            <w:gridSpan w:val="2"/>
            <w:vMerge/>
          </w:tcPr>
          <w:p w14:paraId="11A781E2" w14:textId="77777777" w:rsidR="000D2708" w:rsidRDefault="000D2708" w:rsidP="000D2708">
            <w:pPr>
              <w:ind w:right="180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4822" w:type="dxa"/>
            <w:gridSpan w:val="3"/>
            <w:vAlign w:val="center"/>
          </w:tcPr>
          <w:p w14:paraId="622E7EC3" w14:textId="77777777" w:rsidR="000D2708" w:rsidRPr="00E4679F" w:rsidRDefault="00A808A7" w:rsidP="00543B0B">
            <w:pPr>
              <w:ind w:right="180"/>
              <w:rPr>
                <w:b/>
                <w:i/>
                <w:color w:val="548DD4" w:themeColor="text2" w:themeTint="99"/>
                <w:sz w:val="20"/>
                <w:szCs w:val="20"/>
              </w:rPr>
            </w:pPr>
            <w:r w:rsidRPr="00E4679F">
              <w:rPr>
                <w:b/>
                <w:i/>
                <w:color w:val="548DD4" w:themeColor="text2" w:themeTint="99"/>
                <w:sz w:val="20"/>
                <w:szCs w:val="20"/>
              </w:rPr>
              <w:t>CINCINNATI, OH 45246</w:t>
            </w:r>
          </w:p>
        </w:tc>
      </w:tr>
      <w:tr w:rsidR="000D2708" w14:paraId="0AEFD93C" w14:textId="77777777" w:rsidTr="00543B0B">
        <w:trPr>
          <w:trHeight w:val="311"/>
        </w:trPr>
        <w:tc>
          <w:tcPr>
            <w:tcW w:w="4821" w:type="dxa"/>
            <w:gridSpan w:val="2"/>
            <w:vMerge/>
          </w:tcPr>
          <w:p w14:paraId="23C1FB76" w14:textId="77777777" w:rsidR="000D2708" w:rsidRDefault="000D2708" w:rsidP="000D2708">
            <w:pPr>
              <w:ind w:right="180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4822" w:type="dxa"/>
            <w:gridSpan w:val="3"/>
            <w:vAlign w:val="center"/>
          </w:tcPr>
          <w:p w14:paraId="63D8B049" w14:textId="0D40BC76" w:rsidR="000D2708" w:rsidRPr="00E4679F" w:rsidRDefault="007E3F7A" w:rsidP="00543B0B">
            <w:pPr>
              <w:ind w:right="180"/>
              <w:rPr>
                <w:b/>
                <w:i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i/>
                <w:color w:val="548DD4" w:themeColor="text2" w:themeTint="99"/>
                <w:sz w:val="20"/>
                <w:szCs w:val="20"/>
              </w:rPr>
              <w:t>joe</w:t>
            </w:r>
            <w:r w:rsidR="00E4679F" w:rsidRPr="00E4679F">
              <w:rPr>
                <w:b/>
                <w:i/>
                <w:color w:val="548DD4" w:themeColor="text2" w:themeTint="99"/>
                <w:sz w:val="20"/>
                <w:szCs w:val="20"/>
              </w:rPr>
              <w:t>@nationaltab.com</w:t>
            </w:r>
          </w:p>
        </w:tc>
      </w:tr>
      <w:tr w:rsidR="000D2708" w14:paraId="0F18D2F1" w14:textId="77777777" w:rsidTr="00543B0B">
        <w:trPr>
          <w:trHeight w:val="311"/>
        </w:trPr>
        <w:tc>
          <w:tcPr>
            <w:tcW w:w="4821" w:type="dxa"/>
            <w:gridSpan w:val="2"/>
            <w:vMerge/>
          </w:tcPr>
          <w:p w14:paraId="2E6D77D0" w14:textId="77777777" w:rsidR="000D2708" w:rsidRDefault="000D2708" w:rsidP="000D2708">
            <w:pPr>
              <w:ind w:right="180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4822" w:type="dxa"/>
            <w:gridSpan w:val="3"/>
            <w:vAlign w:val="center"/>
          </w:tcPr>
          <w:p w14:paraId="389A3610" w14:textId="69EFFC88" w:rsidR="000D2708" w:rsidRPr="00E4679F" w:rsidRDefault="00F03F5D" w:rsidP="00A40F41">
            <w:pPr>
              <w:ind w:right="180"/>
              <w:rPr>
                <w:b/>
                <w:i/>
                <w:color w:val="548DD4" w:themeColor="text2" w:themeTint="99"/>
                <w:sz w:val="20"/>
                <w:szCs w:val="20"/>
              </w:rPr>
            </w:pPr>
            <w:r w:rsidRPr="00BA32B5">
              <w:rPr>
                <w:b/>
                <w:i/>
                <w:color w:val="548DD4" w:themeColor="text2" w:themeTint="99"/>
                <w:sz w:val="20"/>
                <w:szCs w:val="20"/>
              </w:rPr>
              <w:t>P#</w:t>
            </w:r>
            <w:r w:rsidRPr="00E4679F">
              <w:rPr>
                <w:b/>
                <w:i/>
                <w:color w:val="548DD4" w:themeColor="text2" w:themeTint="99"/>
                <w:sz w:val="20"/>
                <w:szCs w:val="20"/>
              </w:rPr>
              <w:t xml:space="preserve"> (</w:t>
            </w:r>
            <w:r w:rsidR="00A40F41" w:rsidRPr="00E4679F">
              <w:rPr>
                <w:b/>
                <w:i/>
                <w:color w:val="548DD4" w:themeColor="text2" w:themeTint="99"/>
                <w:sz w:val="20"/>
                <w:szCs w:val="20"/>
              </w:rPr>
              <w:t>855</w:t>
            </w:r>
            <w:r w:rsidRPr="00E4679F">
              <w:rPr>
                <w:b/>
                <w:i/>
                <w:color w:val="548DD4" w:themeColor="text2" w:themeTint="99"/>
                <w:sz w:val="20"/>
                <w:szCs w:val="20"/>
              </w:rPr>
              <w:t>)</w:t>
            </w:r>
            <w:r w:rsidR="006C484F">
              <w:rPr>
                <w:b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r w:rsidR="00A40F41" w:rsidRPr="00E4679F">
              <w:rPr>
                <w:b/>
                <w:i/>
                <w:color w:val="548DD4" w:themeColor="text2" w:themeTint="99"/>
                <w:sz w:val="20"/>
                <w:szCs w:val="20"/>
              </w:rPr>
              <w:t>682-6822</w:t>
            </w:r>
            <w:r w:rsidRPr="00E4679F">
              <w:rPr>
                <w:b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r w:rsidR="00E4679F" w:rsidRPr="00E4679F">
              <w:rPr>
                <w:b/>
                <w:i/>
                <w:color w:val="548DD4" w:themeColor="text2" w:themeTint="99"/>
                <w:sz w:val="20"/>
                <w:szCs w:val="20"/>
              </w:rPr>
              <w:t>ext</w:t>
            </w:r>
            <w:r w:rsidR="00800394">
              <w:rPr>
                <w:b/>
                <w:i/>
                <w:color w:val="548DD4" w:themeColor="text2" w:themeTint="99"/>
                <w:sz w:val="20"/>
                <w:szCs w:val="20"/>
              </w:rPr>
              <w:t>.</w:t>
            </w:r>
            <w:r w:rsidR="00E4679F" w:rsidRPr="00E4679F">
              <w:rPr>
                <w:b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r w:rsidR="00CF237B">
              <w:rPr>
                <w:b/>
                <w:i/>
                <w:color w:val="548DD4" w:themeColor="text2" w:themeTint="99"/>
                <w:sz w:val="20"/>
                <w:szCs w:val="20"/>
              </w:rPr>
              <w:t>4, 3</w:t>
            </w:r>
          </w:p>
        </w:tc>
      </w:tr>
      <w:tr w:rsidR="003E52E0" w14:paraId="378A6CFD" w14:textId="77777777">
        <w:trPr>
          <w:trHeight w:val="225"/>
        </w:trPr>
        <w:tc>
          <w:tcPr>
            <w:tcW w:w="1651" w:type="dxa"/>
          </w:tcPr>
          <w:p w14:paraId="466113D5" w14:textId="77777777" w:rsidR="003E52E0" w:rsidRDefault="003E52E0" w:rsidP="000D2708">
            <w:pPr>
              <w:ind w:righ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COMPANY:</w:t>
            </w:r>
          </w:p>
        </w:tc>
        <w:tc>
          <w:tcPr>
            <w:tcW w:w="3492" w:type="dxa"/>
            <w:gridSpan w:val="2"/>
          </w:tcPr>
          <w:p w14:paraId="1542B9A2" w14:textId="003E4625" w:rsidR="003E52E0" w:rsidRDefault="00EA0170" w:rsidP="000D2708">
            <w:pPr>
              <w:ind w:righ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Billingsley Co</w:t>
            </w:r>
            <w:r w:rsidR="00D153E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48" w:type="dxa"/>
            <w:shd w:val="clear" w:color="auto" w:fill="auto"/>
          </w:tcPr>
          <w:p w14:paraId="3BD83ADE" w14:textId="77777777" w:rsidR="003E52E0" w:rsidRDefault="003E52E0" w:rsidP="000D27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JOB NAME</w:t>
            </w:r>
            <w:r w:rsidR="002654E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2" w:type="dxa"/>
            <w:shd w:val="clear" w:color="auto" w:fill="auto"/>
          </w:tcPr>
          <w:p w14:paraId="71572745" w14:textId="3045DE09" w:rsidR="003E52E0" w:rsidRDefault="005317AC" w:rsidP="00630B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CW</w:t>
            </w:r>
            <w:r w:rsidR="001628B5">
              <w:rPr>
                <w:b/>
                <w:sz w:val="20"/>
                <w:szCs w:val="20"/>
              </w:rPr>
              <w:t xml:space="preserve"> </w:t>
            </w:r>
            <w:r w:rsidR="00AB15AF">
              <w:rPr>
                <w:b/>
                <w:sz w:val="20"/>
                <w:szCs w:val="20"/>
              </w:rPr>
              <w:t>3401 – ADG Suite 450</w:t>
            </w:r>
          </w:p>
        </w:tc>
      </w:tr>
      <w:tr w:rsidR="003E52E0" w14:paraId="096BFF08" w14:textId="77777777">
        <w:trPr>
          <w:trHeight w:val="225"/>
        </w:trPr>
        <w:tc>
          <w:tcPr>
            <w:tcW w:w="1651" w:type="dxa"/>
          </w:tcPr>
          <w:p w14:paraId="5484078A" w14:textId="3158416D" w:rsidR="003E52E0" w:rsidRDefault="00D153E0" w:rsidP="008626A7">
            <w:pPr>
              <w:ind w:righ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3492" w:type="dxa"/>
            <w:gridSpan w:val="2"/>
          </w:tcPr>
          <w:p w14:paraId="02241F42" w14:textId="2805C409" w:rsidR="00051FFC" w:rsidRDefault="00AB15AF" w:rsidP="000D2708">
            <w:pPr>
              <w:ind w:right="180"/>
              <w:rPr>
                <w:b/>
                <w:sz w:val="20"/>
                <w:szCs w:val="20"/>
              </w:rPr>
            </w:pPr>
            <w:hyperlink r:id="rId12" w:history="1">
              <w:r w:rsidR="00D153E0" w:rsidRPr="00C40314">
                <w:rPr>
                  <w:rStyle w:val="Hyperlink"/>
                  <w:b/>
                  <w:sz w:val="20"/>
                  <w:szCs w:val="20"/>
                </w:rPr>
                <w:t>tcummings@billingsleyco.com</w:t>
              </w:r>
            </w:hyperlink>
          </w:p>
        </w:tc>
        <w:tc>
          <w:tcPr>
            <w:tcW w:w="1548" w:type="dxa"/>
            <w:shd w:val="clear" w:color="auto" w:fill="auto"/>
          </w:tcPr>
          <w:p w14:paraId="3ECFCF70" w14:textId="4FD2C445" w:rsidR="003E52E0" w:rsidRDefault="003E52E0" w:rsidP="000D27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="002654E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2" w:type="dxa"/>
            <w:shd w:val="clear" w:color="auto" w:fill="auto"/>
          </w:tcPr>
          <w:p w14:paraId="4B256EA5" w14:textId="60501C5B" w:rsidR="001628B5" w:rsidRDefault="00AB15AF" w:rsidP="00654B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3401 Olympus Blvd, Suite 450</w:t>
            </w:r>
          </w:p>
          <w:p w14:paraId="4555D8D3" w14:textId="53B43971" w:rsidR="00483970" w:rsidRDefault="00483970" w:rsidP="00654B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Dallas, TX</w:t>
            </w:r>
          </w:p>
        </w:tc>
      </w:tr>
      <w:tr w:rsidR="003E52E0" w14:paraId="2C08D594" w14:textId="77777777">
        <w:trPr>
          <w:trHeight w:val="225"/>
        </w:trPr>
        <w:tc>
          <w:tcPr>
            <w:tcW w:w="1651" w:type="dxa"/>
          </w:tcPr>
          <w:p w14:paraId="0F238A5C" w14:textId="77777777" w:rsidR="003E52E0" w:rsidRDefault="003E52E0" w:rsidP="000D2708">
            <w:pPr>
              <w:ind w:righ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ATTN:</w:t>
            </w:r>
          </w:p>
        </w:tc>
        <w:tc>
          <w:tcPr>
            <w:tcW w:w="3492" w:type="dxa"/>
            <w:gridSpan w:val="2"/>
          </w:tcPr>
          <w:p w14:paraId="617FA497" w14:textId="3F9ABFCE" w:rsidR="003E52E0" w:rsidRDefault="00D153E0" w:rsidP="000D2708">
            <w:pPr>
              <w:ind w:righ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Tony Cummings</w:t>
            </w:r>
          </w:p>
        </w:tc>
        <w:tc>
          <w:tcPr>
            <w:tcW w:w="1548" w:type="dxa"/>
            <w:shd w:val="clear" w:color="auto" w:fill="auto"/>
          </w:tcPr>
          <w:p w14:paraId="78DA2565" w14:textId="6483E394" w:rsidR="003E52E0" w:rsidRDefault="00CE16FE" w:rsidP="000D27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2952" w:type="dxa"/>
            <w:shd w:val="clear" w:color="auto" w:fill="auto"/>
          </w:tcPr>
          <w:p w14:paraId="63D98D26" w14:textId="6B8F69D8" w:rsidR="003E52E0" w:rsidRDefault="00654B20" w:rsidP="00A40F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AB15AF">
              <w:rPr>
                <w:b/>
                <w:sz w:val="20"/>
                <w:szCs w:val="20"/>
              </w:rPr>
              <w:t>3/10/2023</w:t>
            </w:r>
          </w:p>
        </w:tc>
      </w:tr>
    </w:tbl>
    <w:p w14:paraId="3BD5493E" w14:textId="0C3FC6D6" w:rsidR="00A479B3" w:rsidRDefault="00FB4BD6" w:rsidP="00352FA5">
      <w:pPr>
        <w:ind w:right="180"/>
        <w:jc w:val="both"/>
      </w:pPr>
      <w:r w:rsidRPr="00543B0B">
        <w:t xml:space="preserve">Thank you for allowing </w:t>
      </w:r>
      <w:r w:rsidR="00853A44" w:rsidRPr="00543B0B">
        <w:t>National T</w:t>
      </w:r>
      <w:r w:rsidR="00A40F41">
        <w:t>AB</w:t>
      </w:r>
      <w:r w:rsidR="00D92E2A" w:rsidRPr="00543B0B">
        <w:t xml:space="preserve"> </w:t>
      </w:r>
      <w:r w:rsidR="00E4679F">
        <w:t>th</w:t>
      </w:r>
      <w:r w:rsidR="00A479B3">
        <w:t>e</w:t>
      </w:r>
      <w:r w:rsidR="00E4679F">
        <w:t xml:space="preserve"> opportun</w:t>
      </w:r>
      <w:r w:rsidR="009C3A0C">
        <w:t xml:space="preserve">ity to </w:t>
      </w:r>
      <w:r w:rsidR="00A479B3">
        <w:t>work with your team</w:t>
      </w:r>
      <w:r w:rsidR="00871589">
        <w:t xml:space="preserve">. We are excited to </w:t>
      </w:r>
      <w:r w:rsidR="00356482">
        <w:t>service</w:t>
      </w:r>
      <w:r w:rsidR="00A479B3">
        <w:t xml:space="preserve"> your facilities from cradle to grave </w:t>
      </w:r>
      <w:r w:rsidR="007E3F7A">
        <w:t>through</w:t>
      </w:r>
      <w:r w:rsidR="00A479B3">
        <w:t xml:space="preserve"> commissioning for performance, test</w:t>
      </w:r>
      <w:r w:rsidR="009C3A0C">
        <w:t xml:space="preserve">, adjust, and </w:t>
      </w:r>
      <w:r w:rsidR="00E4679F">
        <w:t>balance services</w:t>
      </w:r>
      <w:r w:rsidR="00A479B3">
        <w:t>, and facilities analysis</w:t>
      </w:r>
      <w:r w:rsidRPr="00543B0B">
        <w:t xml:space="preserve">. The following is our understanding of the scope of work and the associated </w:t>
      </w:r>
      <w:r w:rsidR="0009283B" w:rsidRPr="00543B0B">
        <w:t>cost.</w:t>
      </w:r>
      <w:r w:rsidR="00352FA5">
        <w:t xml:space="preserve"> </w:t>
      </w:r>
      <w:r w:rsidR="00A479B3">
        <w:t>The</w:t>
      </w:r>
      <w:r w:rsidR="00352FA5">
        <w:t xml:space="preserve"> test and balance </w:t>
      </w:r>
      <w:r w:rsidR="00A479B3">
        <w:t xml:space="preserve">portion of work </w:t>
      </w:r>
      <w:r w:rsidR="007E3F7A">
        <w:t>is</w:t>
      </w:r>
      <w:r w:rsidR="00352FA5">
        <w:t xml:space="preserve"> provided </w:t>
      </w:r>
      <w:r w:rsidR="00A479B3">
        <w:t xml:space="preserve">in </w:t>
      </w:r>
      <w:r w:rsidR="007E3F7A">
        <w:t>adherence to</w:t>
      </w:r>
      <w:r w:rsidR="00A479B3">
        <w:t xml:space="preserve"> NEBB</w:t>
      </w:r>
      <w:r w:rsidR="00352FA5">
        <w:t xml:space="preserve"> testing and reporting requirements </w:t>
      </w:r>
      <w:r w:rsidR="00F215F0">
        <w:t xml:space="preserve">as well as National TAB </w:t>
      </w:r>
      <w:r w:rsidR="009C3A0C">
        <w:t>enhanced</w:t>
      </w:r>
      <w:r w:rsidR="00F215F0">
        <w:t xml:space="preserve"> reporting and testing practices.</w:t>
      </w:r>
      <w:r w:rsidR="009C3A0C">
        <w:t xml:space="preserve"> </w:t>
      </w:r>
    </w:p>
    <w:p w14:paraId="511A434C" w14:textId="77777777" w:rsidR="00740CA0" w:rsidRDefault="00740CA0" w:rsidP="00352FA5">
      <w:pPr>
        <w:ind w:right="180"/>
        <w:jc w:val="both"/>
      </w:pPr>
    </w:p>
    <w:p w14:paraId="0F1521E8" w14:textId="3740C9D5" w:rsidR="00051FFC" w:rsidRDefault="00366EC3" w:rsidP="00352FA5">
      <w:pPr>
        <w:ind w:right="180"/>
        <w:jc w:val="both"/>
      </w:pPr>
      <w:r>
        <w:t>The f</w:t>
      </w:r>
      <w:r w:rsidR="00E4679F">
        <w:t>ollowing pric</w:t>
      </w:r>
      <w:r w:rsidR="007E3F7A">
        <w:t>ing</w:t>
      </w:r>
      <w:r w:rsidR="00E4679F">
        <w:t xml:space="preserve"> </w:t>
      </w:r>
      <w:r w:rsidR="00283B95">
        <w:t xml:space="preserve">and </w:t>
      </w:r>
      <w:r>
        <w:t xml:space="preserve">general guidelines are based </w:t>
      </w:r>
      <w:r w:rsidR="007E3F7A">
        <w:t>on</w:t>
      </w:r>
      <w:r>
        <w:t xml:space="preserve"> a price per square f</w:t>
      </w:r>
      <w:r w:rsidR="00531C9E">
        <w:t>oo</w:t>
      </w:r>
      <w:r>
        <w:t xml:space="preserve">t. Client has the option to accept pricing as stated below or if desired each job can be specifically quoted based upon quantity of HVAC Assets and associated distribution systems. </w:t>
      </w:r>
    </w:p>
    <w:p w14:paraId="7F0260A9" w14:textId="77777777" w:rsidR="00740CA0" w:rsidRDefault="00740CA0" w:rsidP="00740CA0">
      <w:pPr>
        <w:ind w:right="180"/>
        <w:jc w:val="both"/>
      </w:pPr>
    </w:p>
    <w:p w14:paraId="19432DE8" w14:textId="77777777" w:rsidR="00740CA0" w:rsidRPr="00B2272E" w:rsidRDefault="00740CA0" w:rsidP="00740CA0">
      <w:pPr>
        <w:ind w:right="180"/>
        <w:jc w:val="both"/>
        <w:rPr>
          <w:b/>
          <w:u w:val="single"/>
        </w:rPr>
      </w:pPr>
      <w:r w:rsidRPr="00B2272E">
        <w:rPr>
          <w:b/>
          <w:u w:val="single"/>
        </w:rPr>
        <w:t>Commissioning for Performance:</w:t>
      </w:r>
    </w:p>
    <w:p w14:paraId="75502363" w14:textId="7960168B" w:rsidR="007C1BE1" w:rsidRDefault="008652A2" w:rsidP="00FA4B65">
      <w:pPr>
        <w:pStyle w:val="ListParagraph"/>
        <w:numPr>
          <w:ilvl w:val="0"/>
          <w:numId w:val="17"/>
        </w:numPr>
        <w:ind w:right="180"/>
        <w:jc w:val="both"/>
      </w:pPr>
      <w:r w:rsidRPr="00871589">
        <w:rPr>
          <w:i/>
          <w:color w:val="4F81BD" w:themeColor="accent1"/>
        </w:rPr>
        <w:t>Design Review</w:t>
      </w:r>
      <w:r w:rsidRPr="00871589">
        <w:rPr>
          <w:color w:val="4F81BD" w:themeColor="accent1"/>
        </w:rPr>
        <w:t xml:space="preserve"> </w:t>
      </w:r>
      <w:r w:rsidR="00A01C99">
        <w:t>of any preliminary or final design</w:t>
      </w:r>
      <w:r w:rsidR="007E3F7A">
        <w:t>s</w:t>
      </w:r>
      <w:r w:rsidR="00A01C99">
        <w:t xml:space="preserve"> by Billingsley team</w:t>
      </w:r>
      <w:r w:rsidR="00871589">
        <w:t xml:space="preserve">. </w:t>
      </w:r>
      <w:r w:rsidR="007C1BE1">
        <w:t>Includes</w:t>
      </w:r>
      <w:r w:rsidR="004E3061">
        <w:t>:</w:t>
      </w:r>
    </w:p>
    <w:p w14:paraId="0EF384DA" w14:textId="4C59EF23" w:rsidR="004E3061" w:rsidRDefault="007C1BE1" w:rsidP="007C1BE1">
      <w:pPr>
        <w:pStyle w:val="ListParagraph"/>
        <w:numPr>
          <w:ilvl w:val="1"/>
          <w:numId w:val="17"/>
        </w:numPr>
        <w:ind w:right="180"/>
        <w:jc w:val="both"/>
      </w:pPr>
      <w:r>
        <w:t>Ensuring</w:t>
      </w:r>
      <w:r w:rsidR="00A01C99">
        <w:t xml:space="preserve"> systems can be balanced properly and review</w:t>
      </w:r>
      <w:r w:rsidR="00531C9E">
        <w:t xml:space="preserve"> of</w:t>
      </w:r>
      <w:r w:rsidR="00A01C99">
        <w:t xml:space="preserve"> overall design intent</w:t>
      </w:r>
      <w:r w:rsidR="004E3061">
        <w:t>.</w:t>
      </w:r>
    </w:p>
    <w:p w14:paraId="6844211B" w14:textId="24788627" w:rsidR="004E3061" w:rsidRDefault="00936E0F" w:rsidP="007C1BE1">
      <w:pPr>
        <w:pStyle w:val="ListParagraph"/>
        <w:numPr>
          <w:ilvl w:val="1"/>
          <w:numId w:val="17"/>
        </w:numPr>
        <w:ind w:right="180"/>
        <w:jc w:val="both"/>
      </w:pPr>
      <w:r>
        <w:t>Ensuring</w:t>
      </w:r>
      <w:r w:rsidR="00A01C99">
        <w:t xml:space="preserve"> good building &amp; space </w:t>
      </w:r>
      <w:r w:rsidR="007C1BE1">
        <w:t>pressure</w:t>
      </w:r>
      <w:r w:rsidR="00A01C99">
        <w:t xml:space="preserve"> relationship</w:t>
      </w:r>
      <w:r w:rsidR="004E3061">
        <w:t>s.</w:t>
      </w:r>
    </w:p>
    <w:p w14:paraId="5790E40C" w14:textId="22F5BF2A" w:rsidR="007C1BE1" w:rsidRDefault="004E3061" w:rsidP="007C1BE1">
      <w:pPr>
        <w:pStyle w:val="ListParagraph"/>
        <w:numPr>
          <w:ilvl w:val="1"/>
          <w:numId w:val="17"/>
        </w:numPr>
        <w:ind w:right="180"/>
        <w:jc w:val="both"/>
      </w:pPr>
      <w:r>
        <w:t>V</w:t>
      </w:r>
      <w:r w:rsidR="00A01C99">
        <w:t>erify</w:t>
      </w:r>
      <w:r w:rsidR="00936E0F">
        <w:t>ing</w:t>
      </w:r>
      <w:r w:rsidR="00A01C99">
        <w:t xml:space="preserve"> tenant airflow requirements meet or match the requirements of the shell space. </w:t>
      </w:r>
    </w:p>
    <w:p w14:paraId="63EC986C" w14:textId="55B47C3A" w:rsidR="007C1BE1" w:rsidRDefault="007C1BE1" w:rsidP="007C1BE1">
      <w:pPr>
        <w:pStyle w:val="ListParagraph"/>
        <w:numPr>
          <w:ilvl w:val="1"/>
          <w:numId w:val="17"/>
        </w:numPr>
        <w:ind w:right="180"/>
        <w:jc w:val="both"/>
      </w:pPr>
      <w:r>
        <w:t>R</w:t>
      </w:r>
      <w:r w:rsidR="00A01C99">
        <w:t>ecommend</w:t>
      </w:r>
      <w:r>
        <w:t>ation</w:t>
      </w:r>
      <w:r w:rsidR="007E3F7A">
        <w:t>s</w:t>
      </w:r>
      <w:r>
        <w:t xml:space="preserve"> for</w:t>
      </w:r>
      <w:r w:rsidR="00A01C99">
        <w:t xml:space="preserve"> apparatus</w:t>
      </w:r>
      <w:r w:rsidR="00871589">
        <w:t>es</w:t>
      </w:r>
      <w:r w:rsidR="00A01C99">
        <w:t xml:space="preserve"> or modification</w:t>
      </w:r>
      <w:r w:rsidR="00871589">
        <w:t>s</w:t>
      </w:r>
      <w:r w:rsidR="00A01C99">
        <w:t xml:space="preserve"> in shell design duct</w:t>
      </w:r>
      <w:r>
        <w:t xml:space="preserve"> </w:t>
      </w:r>
      <w:r w:rsidR="00A01C99">
        <w:t xml:space="preserve">system that would allow for better phasing of tenant buildout </w:t>
      </w:r>
      <w:r>
        <w:t>while minimizing</w:t>
      </w:r>
      <w:r w:rsidR="00A01C99">
        <w:t xml:space="preserve"> </w:t>
      </w:r>
      <w:r>
        <w:t>effect on</w:t>
      </w:r>
      <w:r w:rsidR="00A01C99">
        <w:t xml:space="preserve"> existing clients. </w:t>
      </w:r>
    </w:p>
    <w:p w14:paraId="52202BB2" w14:textId="1247BB26" w:rsidR="007C1BE1" w:rsidRDefault="00A01C99" w:rsidP="007C1BE1">
      <w:pPr>
        <w:pStyle w:val="ListParagraph"/>
        <w:numPr>
          <w:ilvl w:val="1"/>
          <w:numId w:val="17"/>
        </w:numPr>
        <w:ind w:right="180"/>
        <w:jc w:val="both"/>
      </w:pPr>
      <w:r>
        <w:t xml:space="preserve">A quick duct design review to ensure no system </w:t>
      </w:r>
      <w:r w:rsidR="00531C9E">
        <w:t>e</w:t>
      </w:r>
      <w:r>
        <w:t xml:space="preserve">ffect or sizing that could restrict airflow that waste energy to overcome. </w:t>
      </w:r>
    </w:p>
    <w:p w14:paraId="13BF5AB1" w14:textId="77ADEBFD" w:rsidR="007C1BE1" w:rsidRDefault="004E3061" w:rsidP="007C1BE1">
      <w:pPr>
        <w:pStyle w:val="ListParagraph"/>
        <w:numPr>
          <w:ilvl w:val="1"/>
          <w:numId w:val="17"/>
        </w:numPr>
        <w:ind w:right="180"/>
        <w:jc w:val="both"/>
      </w:pPr>
      <w:r>
        <w:t xml:space="preserve">Review that </w:t>
      </w:r>
      <w:r w:rsidR="00A01C99">
        <w:t xml:space="preserve">sequence of operation &amp; controls sequence are aligned and can achieve </w:t>
      </w:r>
      <w:r w:rsidR="00B2272E">
        <w:t>owners’</w:t>
      </w:r>
      <w:r w:rsidR="00A01C99">
        <w:t xml:space="preserve"> expectations. </w:t>
      </w:r>
    </w:p>
    <w:p w14:paraId="4BCA6F8A" w14:textId="38BCB97C" w:rsidR="007C1BE1" w:rsidRDefault="007C1BE1" w:rsidP="007C1BE1">
      <w:pPr>
        <w:pStyle w:val="ListParagraph"/>
        <w:numPr>
          <w:ilvl w:val="1"/>
          <w:numId w:val="17"/>
        </w:numPr>
        <w:ind w:right="180"/>
        <w:jc w:val="both"/>
      </w:pPr>
      <w:r>
        <w:t>V</w:t>
      </w:r>
      <w:r w:rsidR="00A01C99">
        <w:t>erify</w:t>
      </w:r>
      <w:r w:rsidR="004E3061">
        <w:t>ing</w:t>
      </w:r>
      <w:r w:rsidR="00A01C99">
        <w:t xml:space="preserve"> the HVAC systems have the proper components (</w:t>
      </w:r>
      <w:r w:rsidR="00B2272E">
        <w:t>hardware, controls</w:t>
      </w:r>
      <w:r w:rsidR="00A01C99">
        <w:t xml:space="preserve">, </w:t>
      </w:r>
      <w:r w:rsidR="00B2272E">
        <w:t>etc.</w:t>
      </w:r>
      <w:r w:rsidR="00A01C99">
        <w:t xml:space="preserve">) that will allow us to adjust airflow to the </w:t>
      </w:r>
      <w:r w:rsidR="00B2272E">
        <w:t>engineer’s</w:t>
      </w:r>
      <w:r w:rsidR="00A01C99">
        <w:t xml:space="preserve"> design intent and to be able to properly function per specified sequences. </w:t>
      </w:r>
    </w:p>
    <w:p w14:paraId="74CA63E1" w14:textId="64E35879" w:rsidR="007C1BE1" w:rsidRDefault="007C1BE1" w:rsidP="007C1BE1">
      <w:pPr>
        <w:pStyle w:val="ListParagraph"/>
        <w:numPr>
          <w:ilvl w:val="1"/>
          <w:numId w:val="17"/>
        </w:numPr>
        <w:ind w:right="180"/>
        <w:jc w:val="both"/>
      </w:pPr>
      <w:r>
        <w:t>R</w:t>
      </w:r>
      <w:r w:rsidR="00A01C99">
        <w:t xml:space="preserve">eview </w:t>
      </w:r>
      <w:r w:rsidR="004E3061">
        <w:t xml:space="preserve">of </w:t>
      </w:r>
      <w:r w:rsidR="00A01C99">
        <w:t>hood ventilation designs and any possible areas that noise might be an issue</w:t>
      </w:r>
      <w:r w:rsidR="004E3061">
        <w:t>. Will provide</w:t>
      </w:r>
      <w:r w:rsidR="00A01C99">
        <w:t xml:space="preserve"> as much </w:t>
      </w:r>
      <w:r w:rsidR="004E3061">
        <w:t>insight as</w:t>
      </w:r>
      <w:r w:rsidR="00A01C99">
        <w:t xml:space="preserve"> we can based </w:t>
      </w:r>
      <w:r w:rsidR="0027076D">
        <w:t>on the set of prints</w:t>
      </w:r>
      <w:r w:rsidR="00B2272E">
        <w:t>.</w:t>
      </w:r>
    </w:p>
    <w:p w14:paraId="5D1E8157" w14:textId="5469665B" w:rsidR="00871589" w:rsidRDefault="00B2272E" w:rsidP="007C1BE1">
      <w:pPr>
        <w:pStyle w:val="ListParagraph"/>
        <w:ind w:right="180"/>
        <w:jc w:val="both"/>
      </w:pPr>
      <w:r>
        <w:t>A report will be provided for the team to evaluate</w:t>
      </w:r>
      <w:r w:rsidR="0027076D">
        <w:t>.</w:t>
      </w:r>
      <w:r w:rsidR="00936E0F">
        <w:t xml:space="preserve"> This report will help</w:t>
      </w:r>
      <w:r>
        <w:t xml:space="preserve"> the engineer of record &amp; owner </w:t>
      </w:r>
      <w:r w:rsidR="00936E0F">
        <w:t>decide which recommendations to implement into the design prior to bid.</w:t>
      </w:r>
      <w:r>
        <w:t xml:space="preserve">  </w:t>
      </w:r>
    </w:p>
    <w:p w14:paraId="4CD19CFA" w14:textId="77777777" w:rsidR="00871589" w:rsidRDefault="00871589" w:rsidP="00871589">
      <w:pPr>
        <w:pStyle w:val="ListParagraph"/>
        <w:ind w:right="180"/>
        <w:jc w:val="both"/>
      </w:pPr>
    </w:p>
    <w:p w14:paraId="1C78BFDB" w14:textId="191A3167" w:rsidR="007C1BE1" w:rsidRDefault="00A01C99" w:rsidP="00944F68">
      <w:pPr>
        <w:pStyle w:val="ListParagraph"/>
        <w:numPr>
          <w:ilvl w:val="0"/>
          <w:numId w:val="17"/>
        </w:numPr>
        <w:ind w:right="180"/>
        <w:jc w:val="both"/>
      </w:pPr>
      <w:r w:rsidRPr="00871589">
        <w:rPr>
          <w:i/>
        </w:rPr>
        <w:t xml:space="preserve"> </w:t>
      </w:r>
      <w:r w:rsidR="00B2272E" w:rsidRPr="00871589">
        <w:rPr>
          <w:i/>
          <w:color w:val="4F81BD" w:themeColor="accent1"/>
        </w:rPr>
        <w:t>Phased Installation Review</w:t>
      </w:r>
      <w:r w:rsidR="00B2272E" w:rsidRPr="00871589">
        <w:rPr>
          <w:color w:val="4F81BD" w:themeColor="accent1"/>
        </w:rPr>
        <w:t xml:space="preserve"> </w:t>
      </w:r>
      <w:r w:rsidR="00B2272E">
        <w:t xml:space="preserve">for shell and tenant spaces. </w:t>
      </w:r>
      <w:r w:rsidR="00944F68">
        <w:t xml:space="preserve">This phase will take place during </w:t>
      </w:r>
      <w:r w:rsidR="00B2272E">
        <w:t>site visi</w:t>
      </w:r>
      <w:r w:rsidR="00944F68">
        <w:t>ts. The purpose is to</w:t>
      </w:r>
      <w:r w:rsidR="00B2272E">
        <w:t xml:space="preserve"> review current installation practices and ensure it is being </w:t>
      </w:r>
      <w:r w:rsidR="007C1BE1">
        <w:t>completed</w:t>
      </w:r>
      <w:r w:rsidR="00B2272E">
        <w:t xml:space="preserve"> as required by Billingsley “Best Practices” and </w:t>
      </w:r>
      <w:r w:rsidR="00F0126C">
        <w:t xml:space="preserve">meeting </w:t>
      </w:r>
      <w:r w:rsidR="00B2272E">
        <w:t xml:space="preserve">design intent. </w:t>
      </w:r>
      <w:r w:rsidR="00944F68">
        <w:t>Includes:</w:t>
      </w:r>
    </w:p>
    <w:p w14:paraId="3F347B46" w14:textId="7FEED090" w:rsidR="007C1BE1" w:rsidRDefault="00944F68" w:rsidP="007C1BE1">
      <w:pPr>
        <w:pStyle w:val="ListParagraph"/>
        <w:numPr>
          <w:ilvl w:val="1"/>
          <w:numId w:val="17"/>
        </w:numPr>
        <w:ind w:right="180"/>
        <w:jc w:val="both"/>
      </w:pPr>
      <w:r>
        <w:t>Identifying</w:t>
      </w:r>
      <w:r w:rsidR="00B2272E">
        <w:t xml:space="preserve"> </w:t>
      </w:r>
      <w:r>
        <w:t>issues and recommending modifications to each trade.</w:t>
      </w:r>
      <w:r w:rsidR="00B2272E">
        <w:t xml:space="preserve"> </w:t>
      </w:r>
    </w:p>
    <w:p w14:paraId="5634504D" w14:textId="32BE8546" w:rsidR="00987823" w:rsidRDefault="00B2272E" w:rsidP="007C1BE1">
      <w:pPr>
        <w:pStyle w:val="ListParagraph"/>
        <w:numPr>
          <w:ilvl w:val="1"/>
          <w:numId w:val="17"/>
        </w:numPr>
        <w:ind w:right="180"/>
        <w:jc w:val="both"/>
      </w:pPr>
      <w:r>
        <w:t>Assist</w:t>
      </w:r>
      <w:r w:rsidR="00944F68">
        <w:t>ing</w:t>
      </w:r>
      <w:r>
        <w:t xml:space="preserve"> the onsite team when they run into issues</w:t>
      </w:r>
      <w:r w:rsidR="00944F68">
        <w:t xml:space="preserve"> and d</w:t>
      </w:r>
      <w:r>
        <w:t>ocument</w:t>
      </w:r>
      <w:r w:rsidR="00944F68">
        <w:t>ing</w:t>
      </w:r>
      <w:r>
        <w:t xml:space="preserve"> all </w:t>
      </w:r>
      <w:r w:rsidR="007C1BE1">
        <w:t>their</w:t>
      </w:r>
      <w:r>
        <w:t xml:space="preserve"> concerns prior to them performing the work</w:t>
      </w:r>
      <w:r w:rsidR="00944F68">
        <w:t>.</w:t>
      </w:r>
      <w:r>
        <w:t xml:space="preserve"> </w:t>
      </w:r>
      <w:r w:rsidR="00F0126C">
        <w:t xml:space="preserve">This information will be presented to the </w:t>
      </w:r>
      <w:r>
        <w:t xml:space="preserve">design team </w:t>
      </w:r>
      <w:r w:rsidR="00987823">
        <w:t>so a</w:t>
      </w:r>
      <w:r w:rsidR="00F0126C">
        <w:t xml:space="preserve"> </w:t>
      </w:r>
      <w:r>
        <w:t xml:space="preserve">“Plan of Action” </w:t>
      </w:r>
      <w:r w:rsidR="00987823">
        <w:t xml:space="preserve">can be formed </w:t>
      </w:r>
      <w:r>
        <w:t>for the trades. We will be a key lia</w:t>
      </w:r>
      <w:r w:rsidR="009233BE">
        <w:t>i</w:t>
      </w:r>
      <w:r>
        <w:t>s</w:t>
      </w:r>
      <w:r w:rsidR="009233BE">
        <w:t>on</w:t>
      </w:r>
      <w:r>
        <w:t xml:space="preserve"> between the site trades and the engineering team</w:t>
      </w:r>
      <w:r w:rsidR="009233BE">
        <w:t xml:space="preserve">. </w:t>
      </w:r>
    </w:p>
    <w:p w14:paraId="520BA678" w14:textId="23FE33D8" w:rsidR="00CE16FE" w:rsidRPr="00CE16FE" w:rsidRDefault="00CE16FE" w:rsidP="00CE16FE"/>
    <w:p w14:paraId="6A17AEAC" w14:textId="1C401AE8" w:rsidR="00CE16FE" w:rsidRDefault="00CE16FE" w:rsidP="00CE16FE"/>
    <w:p w14:paraId="0ED73002" w14:textId="63299BC9" w:rsidR="00987823" w:rsidRDefault="00987823" w:rsidP="007C1BE1">
      <w:pPr>
        <w:pStyle w:val="ListParagraph"/>
        <w:numPr>
          <w:ilvl w:val="1"/>
          <w:numId w:val="17"/>
        </w:numPr>
        <w:ind w:right="180"/>
        <w:jc w:val="both"/>
      </w:pPr>
      <w:r>
        <w:lastRenderedPageBreak/>
        <w:t>Verifying</w:t>
      </w:r>
      <w:r w:rsidR="009233BE">
        <w:t xml:space="preserve"> that equipment is installed properly in a general sens</w:t>
      </w:r>
      <w:r>
        <w:t>e. T</w:t>
      </w:r>
      <w:r w:rsidR="009233BE">
        <w:t xml:space="preserve">rades are responsible for </w:t>
      </w:r>
      <w:r>
        <w:t xml:space="preserve">the </w:t>
      </w:r>
      <w:r w:rsidR="009233BE">
        <w:t>install and to ensure meets code</w:t>
      </w:r>
      <w:r>
        <w:t>.</w:t>
      </w:r>
      <w:r w:rsidR="009233BE">
        <w:t xml:space="preserve"> </w:t>
      </w:r>
      <w:r>
        <w:t>O</w:t>
      </w:r>
      <w:r w:rsidR="009233BE">
        <w:t>ur purpose is to point out anything that is blatantly wrong</w:t>
      </w:r>
      <w:r>
        <w:t>.</w:t>
      </w:r>
    </w:p>
    <w:p w14:paraId="30D67C36" w14:textId="2784266B" w:rsidR="00987823" w:rsidRDefault="009233BE" w:rsidP="007C1BE1">
      <w:pPr>
        <w:pStyle w:val="ListParagraph"/>
        <w:numPr>
          <w:ilvl w:val="1"/>
          <w:numId w:val="17"/>
        </w:numPr>
        <w:ind w:right="180"/>
        <w:jc w:val="both"/>
      </w:pPr>
      <w:r>
        <w:t>Provid</w:t>
      </w:r>
      <w:r w:rsidR="00987823">
        <w:t>ing</w:t>
      </w:r>
      <w:r>
        <w:t xml:space="preserve"> any insight to the Billingsley team of progress or delays that could impact the overall schedule</w:t>
      </w:r>
      <w:r w:rsidR="00B84132">
        <w:t xml:space="preserve">. </w:t>
      </w:r>
    </w:p>
    <w:p w14:paraId="019A08DE" w14:textId="3DA36C5C" w:rsidR="00B84132" w:rsidRDefault="00B84132" w:rsidP="00987823">
      <w:pPr>
        <w:ind w:left="1080" w:right="180"/>
        <w:jc w:val="both"/>
      </w:pPr>
      <w:r>
        <w:t>Weekly reports will be provided to the Billingsley team with an executive summary, site pictures, issues and resolutions, next action steps</w:t>
      </w:r>
      <w:r w:rsidR="00987823">
        <w:t xml:space="preserve">, </w:t>
      </w:r>
      <w:r>
        <w:t>and any outstanding issues that still need to be address</w:t>
      </w:r>
      <w:r w:rsidR="00987823">
        <w:t>ed.</w:t>
      </w:r>
    </w:p>
    <w:p w14:paraId="6B9653D6" w14:textId="77777777" w:rsidR="00871589" w:rsidRDefault="00871589" w:rsidP="00871589">
      <w:pPr>
        <w:pStyle w:val="ListParagraph"/>
        <w:ind w:right="180"/>
        <w:jc w:val="both"/>
      </w:pPr>
    </w:p>
    <w:p w14:paraId="10393DBE" w14:textId="0976DC80" w:rsidR="00740CA0" w:rsidRDefault="00B84132" w:rsidP="008652A2">
      <w:pPr>
        <w:pStyle w:val="ListParagraph"/>
        <w:numPr>
          <w:ilvl w:val="0"/>
          <w:numId w:val="17"/>
        </w:numPr>
        <w:ind w:right="180"/>
        <w:jc w:val="both"/>
      </w:pPr>
      <w:r w:rsidRPr="00B84132">
        <w:rPr>
          <w:i/>
          <w:color w:val="4F81BD" w:themeColor="accent1"/>
        </w:rPr>
        <w:t xml:space="preserve">Asset Functional Test </w:t>
      </w:r>
      <w:r>
        <w:t xml:space="preserve">to ensure systems have been started up and </w:t>
      </w:r>
      <w:r w:rsidR="00944F68">
        <w:t>are</w:t>
      </w:r>
      <w:r>
        <w:t xml:space="preserve"> functioning </w:t>
      </w:r>
      <w:r w:rsidR="00987823">
        <w:t>so that further testing can be completed</w:t>
      </w:r>
      <w:r>
        <w:t xml:space="preserve">. </w:t>
      </w:r>
      <w:r w:rsidR="00356482">
        <w:t>A</w:t>
      </w:r>
      <w:r>
        <w:t xml:space="preserve">ll startup checkouts </w:t>
      </w:r>
      <w:r w:rsidR="00356482">
        <w:t xml:space="preserve">will be collected </w:t>
      </w:r>
      <w:r>
        <w:t>from trades</w:t>
      </w:r>
      <w:r w:rsidR="00942807">
        <w:t xml:space="preserve"> as they are completed and submitted with our report</w:t>
      </w:r>
      <w:r>
        <w:t>.</w:t>
      </w:r>
      <w:r w:rsidR="00942807">
        <w:t xml:space="preserve"> W</w:t>
      </w:r>
      <w:r>
        <w:t xml:space="preserve">e will verify the functionality of the larger Assets and a random sampling (min 20%) of the smaller assets that are </w:t>
      </w:r>
      <w:r w:rsidR="00356482">
        <w:t xml:space="preserve">repeatedly </w:t>
      </w:r>
      <w:r>
        <w:t xml:space="preserve">duplicated in the space. </w:t>
      </w:r>
      <w:r w:rsidR="009233BE">
        <w:t xml:space="preserve"> </w:t>
      </w:r>
      <w:r>
        <w:t>This will include a</w:t>
      </w:r>
      <w:r w:rsidR="00942807">
        <w:t xml:space="preserve"> top-level review</w:t>
      </w:r>
      <w:r w:rsidR="00356482">
        <w:t xml:space="preserve"> on-site</w:t>
      </w:r>
      <w:r>
        <w:t xml:space="preserve"> review </w:t>
      </w:r>
      <w:r w:rsidR="00356482">
        <w:t xml:space="preserve">of the controls, electrical, plumbing, and installation practices </w:t>
      </w:r>
      <w:r>
        <w:t xml:space="preserve">with each responsible trade that affect the functionality of the asset. </w:t>
      </w:r>
      <w:r w:rsidR="00356482">
        <w:t>A f</w:t>
      </w:r>
      <w:r w:rsidR="00555F52">
        <w:t xml:space="preserve">inal check </w:t>
      </w:r>
      <w:r w:rsidR="00356482">
        <w:t>of</w:t>
      </w:r>
      <w:r w:rsidR="00555F52">
        <w:t xml:space="preserve"> proper location of controls </w:t>
      </w:r>
      <w:r w:rsidR="00356482">
        <w:t>apparatuses</w:t>
      </w:r>
      <w:r w:rsidR="00555F52">
        <w:t xml:space="preserve"> or sensors </w:t>
      </w:r>
      <w:r w:rsidR="00356482">
        <w:t>will</w:t>
      </w:r>
      <w:r w:rsidR="00555F52">
        <w:t xml:space="preserve"> ensure good temperature or pressure monitoring throughout the space.</w:t>
      </w:r>
    </w:p>
    <w:p w14:paraId="0ABB00CE" w14:textId="77777777" w:rsidR="00871589" w:rsidRDefault="00871589" w:rsidP="00871589">
      <w:pPr>
        <w:ind w:right="180"/>
        <w:jc w:val="both"/>
      </w:pPr>
    </w:p>
    <w:p w14:paraId="7A9351BA" w14:textId="2597767D" w:rsidR="00B84132" w:rsidRDefault="00481A5E" w:rsidP="008652A2">
      <w:pPr>
        <w:pStyle w:val="ListParagraph"/>
        <w:numPr>
          <w:ilvl w:val="0"/>
          <w:numId w:val="17"/>
        </w:numPr>
        <w:ind w:right="180"/>
        <w:jc w:val="both"/>
      </w:pPr>
      <w:r w:rsidRPr="00DB1D8D">
        <w:rPr>
          <w:i/>
          <w:color w:val="4F81BD" w:themeColor="accent1"/>
        </w:rPr>
        <w:t>Test &amp; Balancing</w:t>
      </w:r>
      <w:r w:rsidRPr="00DB1D8D">
        <w:rPr>
          <w:color w:val="4F81BD" w:themeColor="accent1"/>
        </w:rPr>
        <w:t xml:space="preserve"> </w:t>
      </w:r>
      <w:r>
        <w:t>(see below for detailed execution)</w:t>
      </w:r>
      <w:r w:rsidR="00D11F9B">
        <w:t xml:space="preserve"> We will continue our functional testing of some of the assets during the T&amp;B phase since some assets may not be completely ready for testing</w:t>
      </w:r>
      <w:r w:rsidR="00356482">
        <w:t xml:space="preserve">. This </w:t>
      </w:r>
      <w:r w:rsidR="00D11F9B">
        <w:t>require</w:t>
      </w:r>
      <w:r w:rsidR="00356482">
        <w:t>s</w:t>
      </w:r>
      <w:r w:rsidR="00D11F9B">
        <w:t xml:space="preserve"> some overlapping between functioning and balancing work performed</w:t>
      </w:r>
      <w:r w:rsidR="00356482">
        <w:t>.</w:t>
      </w:r>
    </w:p>
    <w:p w14:paraId="155BEDF4" w14:textId="26628AF1" w:rsidR="00481A5E" w:rsidRDefault="00481A5E" w:rsidP="000E7066">
      <w:pPr>
        <w:ind w:right="180"/>
        <w:jc w:val="both"/>
      </w:pPr>
    </w:p>
    <w:p w14:paraId="2518F5F5" w14:textId="0F040287" w:rsidR="00B1100B" w:rsidRPr="00555F52" w:rsidRDefault="000E7066" w:rsidP="00352FA5">
      <w:pPr>
        <w:ind w:right="180"/>
        <w:jc w:val="both"/>
        <w:rPr>
          <w:b/>
          <w:u w:val="single"/>
        </w:rPr>
      </w:pPr>
      <w:r w:rsidRPr="00555F52">
        <w:rPr>
          <w:b/>
          <w:u w:val="single"/>
        </w:rPr>
        <w:t>Test &amp; Balance</w:t>
      </w:r>
      <w:r w:rsidR="00555F52">
        <w:rPr>
          <w:b/>
          <w:u w:val="single"/>
        </w:rPr>
        <w:t xml:space="preserve"> (T&amp;B)</w:t>
      </w:r>
      <w:r w:rsidRPr="00555F52">
        <w:rPr>
          <w:b/>
          <w:u w:val="single"/>
        </w:rPr>
        <w:t xml:space="preserve"> Performance:</w:t>
      </w:r>
    </w:p>
    <w:p w14:paraId="15231DE1" w14:textId="3665ACCF" w:rsidR="00051FFC" w:rsidRPr="00B1100B" w:rsidRDefault="00B1100B" w:rsidP="00352FA5">
      <w:pPr>
        <w:ind w:right="180"/>
        <w:jc w:val="both"/>
      </w:pPr>
      <w:r>
        <w:t xml:space="preserve">All testing is performed per NEBB guideline &amp; standards set forth by Billingsley. </w:t>
      </w:r>
    </w:p>
    <w:p w14:paraId="3E4C3914" w14:textId="530D51E4" w:rsidR="00B1100B" w:rsidRPr="003631B2" w:rsidRDefault="00B1100B" w:rsidP="00B1100B">
      <w:pPr>
        <w:pStyle w:val="ListParagraph"/>
        <w:numPr>
          <w:ilvl w:val="1"/>
          <w:numId w:val="18"/>
        </w:numPr>
        <w:spacing w:after="200" w:line="276" w:lineRule="auto"/>
        <w:contextualSpacing/>
        <w:rPr>
          <w:color w:val="000000" w:themeColor="text1"/>
        </w:rPr>
      </w:pPr>
      <w:r w:rsidRPr="00B06C0E">
        <w:t>Pre-project Management</w:t>
      </w:r>
      <w:r>
        <w:t xml:space="preserve"> (typically 4-week process for all new construction projects)</w:t>
      </w:r>
    </w:p>
    <w:p w14:paraId="7429D8FB" w14:textId="77777777" w:rsidR="00555F52" w:rsidRDefault="00B1100B" w:rsidP="00555F52">
      <w:pPr>
        <w:pStyle w:val="ListParagraph"/>
        <w:numPr>
          <w:ilvl w:val="1"/>
          <w:numId w:val="18"/>
        </w:numPr>
        <w:spacing w:after="200" w:line="276" w:lineRule="auto"/>
        <w:contextualSpacing/>
        <w:rPr>
          <w:color w:val="000000" w:themeColor="text1"/>
        </w:rPr>
      </w:pPr>
      <w:r w:rsidRPr="003631B2">
        <w:rPr>
          <w:color w:val="000000" w:themeColor="text1"/>
        </w:rPr>
        <w:t xml:space="preserve">Follow-up </w:t>
      </w:r>
      <w:r>
        <w:rPr>
          <w:color w:val="000000" w:themeColor="text1"/>
        </w:rPr>
        <w:t>&amp; Readiness Checklist</w:t>
      </w:r>
    </w:p>
    <w:p w14:paraId="14908DDF" w14:textId="77777777" w:rsidR="00555F52" w:rsidRDefault="00B1100B" w:rsidP="00555F52">
      <w:pPr>
        <w:pStyle w:val="ListParagraph"/>
        <w:numPr>
          <w:ilvl w:val="1"/>
          <w:numId w:val="18"/>
        </w:numPr>
        <w:spacing w:after="200" w:line="276" w:lineRule="auto"/>
        <w:contextualSpacing/>
        <w:rPr>
          <w:color w:val="000000" w:themeColor="text1"/>
        </w:rPr>
      </w:pPr>
      <w:r w:rsidRPr="00555F52">
        <w:rPr>
          <w:color w:val="000000" w:themeColor="text1"/>
        </w:rPr>
        <w:t>On site coordination</w:t>
      </w:r>
    </w:p>
    <w:p w14:paraId="5622F2A2" w14:textId="443F32EA" w:rsidR="00555F52" w:rsidRDefault="00B1100B" w:rsidP="00555F52">
      <w:pPr>
        <w:pStyle w:val="ListParagraph"/>
        <w:numPr>
          <w:ilvl w:val="1"/>
          <w:numId w:val="18"/>
        </w:numPr>
        <w:spacing w:after="200" w:line="276" w:lineRule="auto"/>
        <w:contextualSpacing/>
        <w:rPr>
          <w:color w:val="000000" w:themeColor="text1"/>
        </w:rPr>
      </w:pPr>
      <w:r w:rsidRPr="00555F52">
        <w:rPr>
          <w:color w:val="000000" w:themeColor="text1"/>
        </w:rPr>
        <w:t>Balance completed per specification and design intent</w:t>
      </w:r>
      <w:r w:rsidR="00555F52">
        <w:rPr>
          <w:color w:val="000000" w:themeColor="text1"/>
        </w:rPr>
        <w:t xml:space="preserve"> all assets </w:t>
      </w:r>
    </w:p>
    <w:p w14:paraId="535234AD" w14:textId="1705279F" w:rsidR="00555F52" w:rsidRPr="00555F52" w:rsidRDefault="00555F52" w:rsidP="00555F52">
      <w:pPr>
        <w:pStyle w:val="ListParagraph"/>
        <w:numPr>
          <w:ilvl w:val="2"/>
          <w:numId w:val="18"/>
        </w:numPr>
        <w:spacing w:after="200" w:line="276" w:lineRule="auto"/>
        <w:contextualSpacing/>
        <w:rPr>
          <w:color w:val="000000" w:themeColor="text1"/>
        </w:rPr>
      </w:pPr>
      <w:r>
        <w:rPr>
          <w:color w:val="000000" w:themeColor="text1"/>
        </w:rPr>
        <w:t>To include</w:t>
      </w:r>
      <w:r w:rsidR="005317AC">
        <w:rPr>
          <w:color w:val="000000" w:themeColor="text1"/>
        </w:rPr>
        <w:t xml:space="preserve"> </w:t>
      </w:r>
      <w:r w:rsidR="00AB15AF">
        <w:rPr>
          <w:color w:val="000000" w:themeColor="text1"/>
        </w:rPr>
        <w:t>FCUs and Associated Air Devices</w:t>
      </w:r>
    </w:p>
    <w:p w14:paraId="793BC983" w14:textId="29F3CD79" w:rsidR="00555F52" w:rsidRDefault="00555F52" w:rsidP="00555F52">
      <w:pPr>
        <w:pStyle w:val="ListParagraph"/>
        <w:numPr>
          <w:ilvl w:val="1"/>
          <w:numId w:val="18"/>
        </w:numPr>
        <w:spacing w:after="200" w:line="276" w:lineRule="auto"/>
        <w:contextualSpacing/>
        <w:rPr>
          <w:color w:val="000000" w:themeColor="text1"/>
        </w:rPr>
      </w:pPr>
      <w:r>
        <w:rPr>
          <w:color w:val="000000" w:themeColor="text1"/>
        </w:rPr>
        <w:t>Building &amp; Pressure testing in previously determined areas</w:t>
      </w:r>
    </w:p>
    <w:p w14:paraId="2469BEB8" w14:textId="54ED0DFA" w:rsidR="00555F52" w:rsidRDefault="00555F52" w:rsidP="00555F52">
      <w:pPr>
        <w:pStyle w:val="ListParagraph"/>
        <w:numPr>
          <w:ilvl w:val="1"/>
          <w:numId w:val="18"/>
        </w:numPr>
        <w:spacing w:after="200" w:line="276" w:lineRule="auto"/>
        <w:contextualSpacing/>
        <w:rPr>
          <w:color w:val="000000" w:themeColor="text1"/>
        </w:rPr>
      </w:pPr>
      <w:r>
        <w:rPr>
          <w:color w:val="000000" w:themeColor="text1"/>
        </w:rPr>
        <w:t xml:space="preserve">Final calibration of controls &amp; AHU systems with the </w:t>
      </w:r>
      <w:r w:rsidR="00356482">
        <w:rPr>
          <w:color w:val="000000" w:themeColor="text1"/>
        </w:rPr>
        <w:t>assistance</w:t>
      </w:r>
      <w:r>
        <w:rPr>
          <w:color w:val="000000" w:themeColor="text1"/>
        </w:rPr>
        <w:t xml:space="preserve"> of controls contractor</w:t>
      </w:r>
    </w:p>
    <w:p w14:paraId="25649425" w14:textId="47F13EC5" w:rsidR="00555F52" w:rsidRDefault="00356482" w:rsidP="00555F52">
      <w:pPr>
        <w:pStyle w:val="ListParagraph"/>
        <w:numPr>
          <w:ilvl w:val="1"/>
          <w:numId w:val="18"/>
        </w:numPr>
        <w:spacing w:after="200" w:line="276" w:lineRule="auto"/>
        <w:contextualSpacing/>
        <w:rPr>
          <w:color w:val="000000" w:themeColor="text1"/>
        </w:rPr>
      </w:pPr>
      <w:r>
        <w:rPr>
          <w:color w:val="000000" w:themeColor="text1"/>
        </w:rPr>
        <w:t>Sequence</w:t>
      </w:r>
      <w:r w:rsidR="00555F52">
        <w:rPr>
          <w:color w:val="000000" w:themeColor="text1"/>
        </w:rPr>
        <w:t xml:space="preserve"> all assets into different modes of operation (</w:t>
      </w:r>
      <w:r w:rsidR="00C44548">
        <w:rPr>
          <w:color w:val="000000" w:themeColor="text1"/>
        </w:rPr>
        <w:t>i.e.</w:t>
      </w:r>
      <w:r w:rsidR="00555F52">
        <w:rPr>
          <w:color w:val="000000" w:themeColor="text1"/>
        </w:rPr>
        <w:t xml:space="preserve"> Occupied /Un-Occupied, economize mode, </w:t>
      </w:r>
      <w:r w:rsidR="00C44548">
        <w:rPr>
          <w:color w:val="000000" w:themeColor="text1"/>
        </w:rPr>
        <w:t>etc.</w:t>
      </w:r>
      <w:r w:rsidR="00555F52">
        <w:rPr>
          <w:color w:val="000000" w:themeColor="text1"/>
        </w:rPr>
        <w:t xml:space="preserve">) to ensure no </w:t>
      </w:r>
      <w:r w:rsidR="00C44548">
        <w:rPr>
          <w:color w:val="000000" w:themeColor="text1"/>
        </w:rPr>
        <w:t>major effect</w:t>
      </w:r>
      <w:r w:rsidR="00555F52">
        <w:rPr>
          <w:color w:val="000000" w:themeColor="text1"/>
        </w:rPr>
        <w:t xml:space="preserve"> on the building or space. </w:t>
      </w:r>
    </w:p>
    <w:p w14:paraId="5F58F4D4" w14:textId="37F3F0CD" w:rsidR="00B1100B" w:rsidRPr="00555F52" w:rsidRDefault="00B1100B" w:rsidP="00555F52">
      <w:pPr>
        <w:pStyle w:val="ListParagraph"/>
        <w:numPr>
          <w:ilvl w:val="1"/>
          <w:numId w:val="18"/>
        </w:numPr>
        <w:spacing w:after="200" w:line="276" w:lineRule="auto"/>
        <w:contextualSpacing/>
        <w:rPr>
          <w:color w:val="000000" w:themeColor="text1"/>
        </w:rPr>
      </w:pPr>
      <w:r w:rsidRPr="00555F52">
        <w:rPr>
          <w:color w:val="000000" w:themeColor="text1"/>
        </w:rPr>
        <w:t>Building’s functional and witnessed test completed and signed</w:t>
      </w:r>
    </w:p>
    <w:p w14:paraId="72B54147" w14:textId="77777777" w:rsidR="00B1100B" w:rsidRPr="003631B2" w:rsidRDefault="00B1100B" w:rsidP="00B1100B">
      <w:pPr>
        <w:pStyle w:val="ListParagraph"/>
        <w:numPr>
          <w:ilvl w:val="1"/>
          <w:numId w:val="18"/>
        </w:numPr>
        <w:spacing w:after="200" w:line="276" w:lineRule="auto"/>
        <w:contextualSpacing/>
        <w:rPr>
          <w:color w:val="000000" w:themeColor="text1"/>
        </w:rPr>
      </w:pPr>
      <w:r w:rsidRPr="003631B2">
        <w:rPr>
          <w:color w:val="000000" w:themeColor="text1"/>
        </w:rPr>
        <w:t>Post Project Issue Resolution (when required)</w:t>
      </w:r>
    </w:p>
    <w:p w14:paraId="2E963FF3" w14:textId="54FEF573" w:rsidR="00B1100B" w:rsidRPr="003631B2" w:rsidRDefault="00B1100B" w:rsidP="00B1100B">
      <w:pPr>
        <w:pStyle w:val="ListParagraph"/>
        <w:numPr>
          <w:ilvl w:val="1"/>
          <w:numId w:val="18"/>
        </w:numPr>
        <w:spacing w:after="200" w:line="276" w:lineRule="auto"/>
        <w:contextualSpacing/>
        <w:rPr>
          <w:color w:val="000000" w:themeColor="text1"/>
        </w:rPr>
      </w:pPr>
      <w:r w:rsidRPr="003631B2">
        <w:rPr>
          <w:color w:val="000000" w:themeColor="text1"/>
        </w:rPr>
        <w:t>QSR (quality service report) – 100%</w:t>
      </w:r>
    </w:p>
    <w:p w14:paraId="55200A31" w14:textId="43913ABB" w:rsidR="00B1100B" w:rsidRDefault="00B1100B" w:rsidP="00B1100B">
      <w:pPr>
        <w:pStyle w:val="ListParagraph"/>
        <w:numPr>
          <w:ilvl w:val="1"/>
          <w:numId w:val="18"/>
        </w:numPr>
        <w:spacing w:after="200" w:line="276" w:lineRule="auto"/>
        <w:contextualSpacing/>
        <w:rPr>
          <w:color w:val="000000" w:themeColor="text1"/>
        </w:rPr>
      </w:pPr>
      <w:r w:rsidRPr="003631B2">
        <w:rPr>
          <w:color w:val="000000" w:themeColor="text1"/>
        </w:rPr>
        <w:t>Post Project document turnover</w:t>
      </w:r>
    </w:p>
    <w:p w14:paraId="2F09B26A" w14:textId="3AED9CEF" w:rsidR="000E7066" w:rsidRDefault="00555F52" w:rsidP="00352FA5">
      <w:pPr>
        <w:ind w:right="180"/>
        <w:jc w:val="both"/>
      </w:pPr>
      <w:r>
        <w:t>The Commissioning &amp; Test &amp; Balancing Price below is based upon a price</w:t>
      </w:r>
      <w:r w:rsidR="00944F68">
        <w:t xml:space="preserve"> per </w:t>
      </w:r>
      <w:r w:rsidR="00C44548">
        <w:t>sq.</w:t>
      </w:r>
      <w:r>
        <w:t xml:space="preserve"> ft as follows:</w:t>
      </w:r>
    </w:p>
    <w:p w14:paraId="2C3D469D" w14:textId="45CAC489" w:rsidR="00944F68" w:rsidRDefault="00944F68" w:rsidP="00A951A8">
      <w:pPr>
        <w:suppressAutoHyphens/>
        <w:jc w:val="center"/>
        <w:rPr>
          <w:b/>
        </w:rPr>
      </w:pPr>
    </w:p>
    <w:p w14:paraId="273C0232" w14:textId="3BEF12AA" w:rsidR="00EA0170" w:rsidRPr="002C77FD" w:rsidRDefault="00EA0170" w:rsidP="00A951A8">
      <w:pPr>
        <w:suppressAutoHyphens/>
        <w:jc w:val="center"/>
        <w:rPr>
          <w:b/>
        </w:rPr>
      </w:pPr>
      <w:r w:rsidRPr="002C77FD">
        <w:rPr>
          <w:b/>
        </w:rPr>
        <w:t>Total Test &amp; Balancing = $</w:t>
      </w:r>
      <w:r w:rsidR="00AB15AF">
        <w:rPr>
          <w:b/>
        </w:rPr>
        <w:t>1</w:t>
      </w:r>
      <w:r w:rsidR="00B7480C">
        <w:rPr>
          <w:b/>
        </w:rPr>
        <w:t>,</w:t>
      </w:r>
      <w:r w:rsidR="00AB15AF">
        <w:rPr>
          <w:b/>
        </w:rPr>
        <w:t>2</w:t>
      </w:r>
      <w:r w:rsidR="00B7480C">
        <w:rPr>
          <w:b/>
        </w:rPr>
        <w:t>00</w:t>
      </w:r>
      <w:r w:rsidR="007C1F77" w:rsidRPr="002C77FD">
        <w:rPr>
          <w:b/>
        </w:rPr>
        <w:t>.00</w:t>
      </w:r>
    </w:p>
    <w:p w14:paraId="2094A676" w14:textId="77777777" w:rsidR="00EA0170" w:rsidRDefault="00EA0170" w:rsidP="00A951A8">
      <w:pPr>
        <w:suppressAutoHyphens/>
        <w:jc w:val="center"/>
        <w:rPr>
          <w:b/>
        </w:rPr>
      </w:pPr>
    </w:p>
    <w:p w14:paraId="1A1A543E" w14:textId="2394DAA5" w:rsidR="00C01EB4" w:rsidRDefault="00C01EB4" w:rsidP="00A951A8">
      <w:pPr>
        <w:suppressAutoHyphens/>
        <w:jc w:val="center"/>
        <w:rPr>
          <w:b/>
        </w:rPr>
      </w:pPr>
      <w:r>
        <w:rPr>
          <w:b/>
        </w:rPr>
        <w:t>Parts &amp; Terms</w:t>
      </w:r>
    </w:p>
    <w:p w14:paraId="3CF2CD25" w14:textId="77777777" w:rsidR="00C01EB4" w:rsidRPr="00A951A8" w:rsidRDefault="00C01EB4" w:rsidP="00A951A8">
      <w:pPr>
        <w:suppressAutoHyphens/>
        <w:jc w:val="center"/>
        <w:rPr>
          <w:b/>
        </w:rPr>
      </w:pPr>
    </w:p>
    <w:p w14:paraId="4DB82B3F" w14:textId="0CEB6DC4" w:rsidR="008F77C1" w:rsidRPr="00C01EB4" w:rsidRDefault="00C477FB" w:rsidP="00EE46E5">
      <w:pPr>
        <w:suppressAutoHyphens/>
        <w:jc w:val="both"/>
        <w:rPr>
          <w:b/>
          <w:spacing w:val="-3"/>
        </w:rPr>
      </w:pPr>
      <w:r w:rsidRPr="00C01EB4">
        <w:rPr>
          <w:u w:val="single"/>
        </w:rPr>
        <w:t>Any parts if required</w:t>
      </w:r>
      <w:r w:rsidRPr="00C01EB4">
        <w:t xml:space="preserve"> will be additional. </w:t>
      </w:r>
      <w:r w:rsidR="004F4ADE" w:rsidRPr="00C01EB4">
        <w:t>However,</w:t>
      </w:r>
      <w:r w:rsidRPr="00C01EB4">
        <w:t xml:space="preserve"> no parts will be provided without initial approval unless National T</w:t>
      </w:r>
      <w:r w:rsidR="00A40F41" w:rsidRPr="00C01EB4">
        <w:t>AB</w:t>
      </w:r>
      <w:r w:rsidRPr="00C01EB4">
        <w:t xml:space="preserve">, LLC has agreed </w:t>
      </w:r>
      <w:r w:rsidR="00C5775E" w:rsidRPr="00C01EB4">
        <w:t>with the client for a set fee to perform specific task.</w:t>
      </w:r>
      <w:r w:rsidR="005901E2" w:rsidRPr="00C01EB4">
        <w:t xml:space="preserve"> Lift rental to be additional if required if not provided by owner or GC.</w:t>
      </w:r>
      <w:r w:rsidR="00C16110" w:rsidRPr="00C01EB4">
        <w:t xml:space="preserve">  Work to be performed 1</w:t>
      </w:r>
      <w:r w:rsidR="00C16110" w:rsidRPr="00C01EB4">
        <w:rPr>
          <w:vertAlign w:val="superscript"/>
        </w:rPr>
        <w:t>st</w:t>
      </w:r>
      <w:r w:rsidR="00C16110" w:rsidRPr="00C01EB4">
        <w:t xml:space="preserve"> shift only.</w:t>
      </w:r>
      <w:r w:rsidR="008F77C1" w:rsidRPr="00C01EB4">
        <w:rPr>
          <w:b/>
          <w:bCs/>
        </w:rPr>
        <w:t xml:space="preserve"> </w:t>
      </w:r>
    </w:p>
    <w:p w14:paraId="2D5FE3C5" w14:textId="77777777" w:rsidR="005901E2" w:rsidRPr="00C01EB4" w:rsidRDefault="005901E2" w:rsidP="00720419">
      <w:pPr>
        <w:ind w:left="-180" w:right="180"/>
        <w:rPr>
          <w:b/>
          <w:u w:val="single"/>
        </w:rPr>
      </w:pPr>
    </w:p>
    <w:p w14:paraId="52B1D07C" w14:textId="5EF78BAC" w:rsidR="00873589" w:rsidRPr="00C01EB4" w:rsidRDefault="00FB4BD6" w:rsidP="00C01EB4">
      <w:pPr>
        <w:rPr>
          <w:b/>
        </w:rPr>
      </w:pPr>
      <w:r w:rsidRPr="00C01EB4">
        <w:rPr>
          <w:u w:val="single"/>
        </w:rPr>
        <w:lastRenderedPageBreak/>
        <w:t>WE HEREBY PROPOSE</w:t>
      </w:r>
      <w:r w:rsidRPr="00C01EB4">
        <w:t xml:space="preserve"> to furnish labor complete in accordance with </w:t>
      </w:r>
      <w:r w:rsidR="005901E2" w:rsidRPr="00C01EB4">
        <w:t xml:space="preserve">NATIONAL </w:t>
      </w:r>
      <w:r w:rsidR="00853A44" w:rsidRPr="00C01EB4">
        <w:t>TAB</w:t>
      </w:r>
      <w:r w:rsidR="00930C3F" w:rsidRPr="00C01EB4">
        <w:t xml:space="preserve"> s</w:t>
      </w:r>
      <w:r w:rsidR="007958AE" w:rsidRPr="00C01EB4">
        <w:t>pecifications</w:t>
      </w:r>
      <w:r w:rsidRPr="00C01EB4">
        <w:t xml:space="preserve">, </w:t>
      </w:r>
      <w:r w:rsidR="004F4ADE" w:rsidRPr="00C01EB4">
        <w:t>for Payment</w:t>
      </w:r>
      <w:r w:rsidR="00804733" w:rsidRPr="00C01EB4">
        <w:t xml:space="preserve"> in US Dollars</w:t>
      </w:r>
      <w:r w:rsidRPr="00C01EB4">
        <w:t xml:space="preserve"> to be made </w:t>
      </w:r>
      <w:r w:rsidR="004F4ADE" w:rsidRPr="00C01EB4">
        <w:t>with the following</w:t>
      </w:r>
      <w:r w:rsidRPr="00C01EB4">
        <w:t xml:space="preserve">:  </w:t>
      </w:r>
      <w:r w:rsidR="005901E2" w:rsidRPr="00C01EB4">
        <w:rPr>
          <w:b/>
          <w:u w:val="single"/>
        </w:rPr>
        <w:t>Terms</w:t>
      </w:r>
      <w:r w:rsidR="004F4ADE" w:rsidRPr="00C01EB4">
        <w:rPr>
          <w:b/>
          <w:u w:val="single"/>
        </w:rPr>
        <w:t xml:space="preserve"> to be</w:t>
      </w:r>
      <w:r w:rsidR="00C01EB4" w:rsidRPr="00C01EB4">
        <w:rPr>
          <w:b/>
          <w:u w:val="single"/>
        </w:rPr>
        <w:t xml:space="preserve"> </w:t>
      </w:r>
      <w:r w:rsidR="00C01EB4" w:rsidRPr="00C01EB4">
        <w:rPr>
          <w:b/>
          <w:bCs/>
          <w:u w:val="single"/>
        </w:rPr>
        <w:t>1.5% 15, Net 30</w:t>
      </w:r>
      <w:r w:rsidR="00C01EB4" w:rsidRPr="00C01EB4">
        <w:rPr>
          <w:u w:val="single"/>
        </w:rPr>
        <w:t> </w:t>
      </w:r>
      <w:r w:rsidR="00C01EB4" w:rsidRPr="00C01EB4">
        <w:rPr>
          <w:b/>
          <w:u w:val="single"/>
        </w:rPr>
        <w:t>fro</w:t>
      </w:r>
      <w:r w:rsidR="004F4ADE" w:rsidRPr="00C01EB4">
        <w:rPr>
          <w:b/>
          <w:u w:val="single"/>
        </w:rPr>
        <w:t>m Invoice date. If job is performed by price/Sq. Ft invoicing will occur bimonthly.</w:t>
      </w:r>
      <w:r w:rsidR="004F4ADE" w:rsidRPr="00C01EB4">
        <w:rPr>
          <w:b/>
        </w:rPr>
        <w:t xml:space="preserve"> </w:t>
      </w:r>
    </w:p>
    <w:p w14:paraId="0A980FAC" w14:textId="77777777" w:rsidR="00226C0E" w:rsidRPr="00C01EB4" w:rsidRDefault="00226C0E" w:rsidP="00EE46E5">
      <w:pPr>
        <w:ind w:right="180"/>
        <w:rPr>
          <w:b/>
        </w:rPr>
      </w:pPr>
    </w:p>
    <w:tbl>
      <w:tblPr>
        <w:tblpPr w:leftFromText="180" w:rightFromText="180" w:vertAnchor="text" w:tblpX="-35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2"/>
        <w:gridCol w:w="4088"/>
      </w:tblGrid>
      <w:tr w:rsidR="00330751" w14:paraId="76DEB101" w14:textId="77777777" w:rsidTr="005901E2">
        <w:trPr>
          <w:trHeight w:val="883"/>
        </w:trPr>
        <w:tc>
          <w:tcPr>
            <w:tcW w:w="5506" w:type="dxa"/>
          </w:tcPr>
          <w:p w14:paraId="069DFF2C" w14:textId="77777777" w:rsidR="00F82ABE" w:rsidRPr="00F82ABE" w:rsidRDefault="00A95DB7" w:rsidP="002654E0">
            <w:pPr>
              <w:ind w:right="-36"/>
              <w:jc w:val="both"/>
              <w:rPr>
                <w:sz w:val="20"/>
                <w:szCs w:val="20"/>
              </w:rPr>
            </w:pPr>
            <w:r w:rsidRPr="00EA268D">
              <w:rPr>
                <w:b/>
                <w:sz w:val="22"/>
                <w:szCs w:val="22"/>
              </w:rPr>
              <w:t>Acceptance of proposal</w:t>
            </w:r>
            <w:r w:rsidRPr="00EA268D">
              <w:rPr>
                <w:b/>
                <w:sz w:val="20"/>
                <w:szCs w:val="20"/>
              </w:rPr>
              <w:t xml:space="preserve"> - </w:t>
            </w:r>
            <w:r w:rsidRPr="00EA268D">
              <w:rPr>
                <w:sz w:val="20"/>
                <w:szCs w:val="20"/>
              </w:rPr>
              <w:t>The above prices, specifications</w:t>
            </w:r>
            <w:r w:rsidR="00DA0AA2">
              <w:rPr>
                <w:sz w:val="20"/>
                <w:szCs w:val="20"/>
              </w:rPr>
              <w:t xml:space="preserve"> a</w:t>
            </w:r>
            <w:r w:rsidRPr="00EA268D">
              <w:rPr>
                <w:sz w:val="20"/>
                <w:szCs w:val="20"/>
              </w:rPr>
              <w:t>nd conditions are satisfactory and are hereby accepted.</w:t>
            </w:r>
            <w:r w:rsidR="002654E0">
              <w:rPr>
                <w:sz w:val="20"/>
                <w:szCs w:val="20"/>
              </w:rPr>
              <w:t xml:space="preserve">  You are</w:t>
            </w:r>
          </w:p>
          <w:p w14:paraId="7652EB9C" w14:textId="77777777" w:rsidR="00A95DB7" w:rsidRPr="00EA268D" w:rsidRDefault="00A95DB7" w:rsidP="002654E0">
            <w:pPr>
              <w:ind w:right="-36"/>
              <w:jc w:val="both"/>
              <w:rPr>
                <w:sz w:val="20"/>
                <w:szCs w:val="20"/>
                <w:u w:val="single"/>
              </w:rPr>
            </w:pPr>
            <w:r w:rsidRPr="00EA268D">
              <w:rPr>
                <w:sz w:val="20"/>
                <w:szCs w:val="20"/>
              </w:rPr>
              <w:t>authorized to do the work as specified.  Payment</w:t>
            </w:r>
            <w:r>
              <w:rPr>
                <w:sz w:val="20"/>
                <w:szCs w:val="20"/>
              </w:rPr>
              <w:t xml:space="preserve"> w</w:t>
            </w:r>
            <w:r w:rsidRPr="00EA268D">
              <w:rPr>
                <w:sz w:val="20"/>
                <w:szCs w:val="20"/>
              </w:rPr>
              <w:t xml:space="preserve">ill be made in accordance to </w:t>
            </w:r>
            <w:r w:rsidR="0079537B">
              <w:rPr>
                <w:sz w:val="20"/>
                <w:szCs w:val="20"/>
              </w:rPr>
              <w:t xml:space="preserve">terms </w:t>
            </w:r>
            <w:r w:rsidR="005901E2">
              <w:rPr>
                <w:sz w:val="20"/>
                <w:szCs w:val="20"/>
              </w:rPr>
              <w:t>agreed upon</w:t>
            </w:r>
            <w:r w:rsidRPr="00EA268D">
              <w:rPr>
                <w:sz w:val="20"/>
                <w:szCs w:val="20"/>
              </w:rPr>
              <w:t>.</w:t>
            </w:r>
          </w:p>
          <w:p w14:paraId="6625BB74" w14:textId="77777777" w:rsidR="009660BE" w:rsidRPr="00720419" w:rsidRDefault="009660BE" w:rsidP="00330751">
            <w:pPr>
              <w:ind w:right="-36"/>
              <w:rPr>
                <w:b/>
                <w:sz w:val="20"/>
                <w:szCs w:val="20"/>
              </w:rPr>
            </w:pPr>
          </w:p>
          <w:p w14:paraId="50952DAD" w14:textId="77777777" w:rsidR="009660BE" w:rsidRDefault="00A95DB7" w:rsidP="00330751">
            <w:pPr>
              <w:ind w:right="-36"/>
              <w:rPr>
                <w:sz w:val="20"/>
                <w:szCs w:val="20"/>
              </w:rPr>
            </w:pPr>
            <w:r w:rsidRPr="00A95DB7">
              <w:rPr>
                <w:b/>
              </w:rPr>
              <w:t>Client Signature</w:t>
            </w:r>
            <w:r>
              <w:rPr>
                <w:b/>
              </w:rPr>
              <w:t>:</w:t>
            </w:r>
            <w:r w:rsidRPr="00EA268D">
              <w:rPr>
                <w:sz w:val="20"/>
                <w:szCs w:val="20"/>
                <w:u w:val="single"/>
              </w:rPr>
              <w:tab/>
            </w:r>
            <w:r w:rsidRPr="00EA268D">
              <w:rPr>
                <w:sz w:val="20"/>
                <w:szCs w:val="20"/>
                <w:u w:val="single"/>
              </w:rPr>
              <w:tab/>
            </w:r>
            <w:r w:rsidRPr="00EA268D">
              <w:rPr>
                <w:sz w:val="20"/>
                <w:szCs w:val="20"/>
                <w:u w:val="single"/>
              </w:rPr>
              <w:tab/>
            </w:r>
            <w:r w:rsidRPr="00EA268D">
              <w:rPr>
                <w:sz w:val="20"/>
                <w:szCs w:val="20"/>
                <w:u w:val="single"/>
              </w:rPr>
              <w:tab/>
            </w:r>
            <w:r w:rsidRPr="00EA268D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 xml:space="preserve">    </w:t>
            </w:r>
            <w:r>
              <w:rPr>
                <w:sz w:val="20"/>
                <w:szCs w:val="20"/>
              </w:rPr>
              <w:t xml:space="preserve">      </w:t>
            </w:r>
          </w:p>
          <w:p w14:paraId="06062C34" w14:textId="77777777" w:rsidR="009660BE" w:rsidRDefault="009660BE" w:rsidP="00330751">
            <w:pPr>
              <w:ind w:right="-36"/>
              <w:rPr>
                <w:sz w:val="20"/>
                <w:szCs w:val="20"/>
              </w:rPr>
            </w:pPr>
          </w:p>
          <w:p w14:paraId="35DA7F03" w14:textId="77777777" w:rsidR="00A95DB7" w:rsidRDefault="00A95DB7" w:rsidP="00330751">
            <w:pPr>
              <w:ind w:right="-36"/>
              <w:rPr>
                <w:sz w:val="20"/>
                <w:szCs w:val="20"/>
                <w:u w:val="single"/>
              </w:rPr>
            </w:pPr>
            <w:r w:rsidRPr="00A95DB7">
              <w:rPr>
                <w:b/>
              </w:rPr>
              <w:t>Client</w:t>
            </w:r>
            <w:r w:rsidRPr="00A95DB7">
              <w:rPr>
                <w:b/>
                <w:sz w:val="20"/>
                <w:szCs w:val="20"/>
              </w:rPr>
              <w:t xml:space="preserve"> </w:t>
            </w:r>
            <w:r w:rsidRPr="00A95DB7">
              <w:rPr>
                <w:b/>
              </w:rPr>
              <w:t>Date of Acceptance</w:t>
            </w:r>
            <w:r w:rsidRPr="00EA268D">
              <w:rPr>
                <w:sz w:val="20"/>
                <w:szCs w:val="20"/>
              </w:rPr>
              <w:t>:</w:t>
            </w:r>
            <w:r w:rsidRPr="00EA268D">
              <w:rPr>
                <w:sz w:val="20"/>
                <w:szCs w:val="20"/>
                <w:u w:val="single"/>
              </w:rPr>
              <w:tab/>
            </w:r>
            <w:r w:rsidRPr="00EA268D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 xml:space="preserve">               </w:t>
            </w:r>
            <w:r w:rsidRPr="00EA268D">
              <w:rPr>
                <w:sz w:val="20"/>
                <w:szCs w:val="20"/>
                <w:u w:val="single"/>
              </w:rPr>
              <w:tab/>
            </w:r>
          </w:p>
          <w:p w14:paraId="1A4771CE" w14:textId="77777777" w:rsidR="00A95DB7" w:rsidRPr="00720419" w:rsidRDefault="00A95DB7" w:rsidP="00330751">
            <w:pPr>
              <w:ind w:right="180"/>
              <w:rPr>
                <w:b/>
                <w:sz w:val="16"/>
                <w:szCs w:val="16"/>
              </w:rPr>
            </w:pPr>
          </w:p>
        </w:tc>
        <w:tc>
          <w:tcPr>
            <w:tcW w:w="4124" w:type="dxa"/>
            <w:shd w:val="clear" w:color="auto" w:fill="auto"/>
          </w:tcPr>
          <w:p w14:paraId="41E5ABE6" w14:textId="2F179016" w:rsidR="00330751" w:rsidRPr="00B22269" w:rsidRDefault="00330751" w:rsidP="00330751">
            <w:pPr>
              <w:rPr>
                <w:b/>
              </w:rPr>
            </w:pPr>
            <w:r w:rsidRPr="00B22269">
              <w:rPr>
                <w:b/>
              </w:rPr>
              <w:t>Authorized Signature</w:t>
            </w:r>
            <w:r w:rsidR="004F4ADE">
              <w:rPr>
                <w:b/>
              </w:rPr>
              <w:t>/Title</w:t>
            </w:r>
            <w:r w:rsidR="00A40F41">
              <w:rPr>
                <w:b/>
              </w:rPr>
              <w:t>:</w:t>
            </w:r>
          </w:p>
          <w:p w14:paraId="23007C02" w14:textId="77777777" w:rsidR="00330751" w:rsidRDefault="00330751" w:rsidP="00330751">
            <w:r w:rsidRPr="00EA268D">
              <w:tab/>
            </w:r>
            <w:r w:rsidRPr="00EA268D">
              <w:tab/>
            </w:r>
            <w:r w:rsidRPr="00EA268D">
              <w:tab/>
            </w:r>
          </w:p>
          <w:p w14:paraId="64A23051" w14:textId="00322F96" w:rsidR="00330751" w:rsidRPr="00A40F41" w:rsidRDefault="00356482" w:rsidP="00330751">
            <w:pPr>
              <w:rPr>
                <w:u w:val="single"/>
              </w:rPr>
            </w:pPr>
            <w:r w:rsidRPr="00356482">
              <w:t xml:space="preserve">           </w:t>
            </w:r>
            <w:r w:rsidR="00A808A7">
              <w:rPr>
                <w:u w:val="single"/>
              </w:rPr>
              <w:t>Joe</w:t>
            </w:r>
            <w:r w:rsidR="00330751" w:rsidRPr="00A40F41">
              <w:rPr>
                <w:u w:val="single"/>
              </w:rPr>
              <w:t xml:space="preserve"> Hertenstein</w:t>
            </w:r>
            <w:r>
              <w:rPr>
                <w:u w:val="single"/>
              </w:rPr>
              <w:t xml:space="preserve"> /</w:t>
            </w:r>
            <w:r w:rsidR="004F4ADE">
              <w:rPr>
                <w:u w:val="single"/>
              </w:rPr>
              <w:t xml:space="preserve"> President</w:t>
            </w:r>
          </w:p>
          <w:p w14:paraId="3D247A3A" w14:textId="77777777" w:rsidR="009660BE" w:rsidRDefault="009660BE" w:rsidP="00330751">
            <w:pPr>
              <w:rPr>
                <w:b/>
              </w:rPr>
            </w:pPr>
          </w:p>
          <w:p w14:paraId="3B71E501" w14:textId="5D208EAA" w:rsidR="00330751" w:rsidRDefault="00330751" w:rsidP="00330751">
            <w:pPr>
              <w:rPr>
                <w:sz w:val="20"/>
                <w:szCs w:val="20"/>
                <w:u w:val="single"/>
              </w:rPr>
            </w:pPr>
            <w:r w:rsidRPr="00B22269">
              <w:rPr>
                <w:b/>
              </w:rPr>
              <w:t>Date:</w:t>
            </w:r>
            <w:r>
              <w:t xml:space="preserve"> </w:t>
            </w:r>
            <w:r w:rsidR="00A40F41">
              <w:t xml:space="preserve">          </w:t>
            </w:r>
            <w:r w:rsidR="00117A92">
              <w:rPr>
                <w:u w:val="single"/>
              </w:rPr>
              <w:t>0</w:t>
            </w:r>
            <w:r w:rsidR="00AB15AF">
              <w:rPr>
                <w:u w:val="single"/>
              </w:rPr>
              <w:t>3</w:t>
            </w:r>
            <w:r w:rsidR="00CE16FE" w:rsidRPr="00CE16FE">
              <w:rPr>
                <w:u w:val="single"/>
              </w:rPr>
              <w:t>/</w:t>
            </w:r>
            <w:r w:rsidR="00AB15AF">
              <w:rPr>
                <w:u w:val="single"/>
              </w:rPr>
              <w:t>10</w:t>
            </w:r>
            <w:r w:rsidR="00CE16FE" w:rsidRPr="00CE16FE">
              <w:rPr>
                <w:u w:val="single"/>
              </w:rPr>
              <w:t>/20</w:t>
            </w:r>
            <w:r w:rsidR="00117A92">
              <w:rPr>
                <w:u w:val="single"/>
              </w:rPr>
              <w:t>2</w:t>
            </w:r>
            <w:r w:rsidR="00AB15AF">
              <w:rPr>
                <w:u w:val="single"/>
              </w:rPr>
              <w:t>3</w:t>
            </w:r>
            <w:r w:rsidR="00A40F41">
              <w:t xml:space="preserve"> </w:t>
            </w:r>
          </w:p>
          <w:p w14:paraId="1B6B1A5A" w14:textId="77777777" w:rsidR="00330751" w:rsidRDefault="00330751" w:rsidP="00330751">
            <w:pPr>
              <w:rPr>
                <w:b/>
                <w:sz w:val="22"/>
                <w:szCs w:val="22"/>
              </w:rPr>
            </w:pPr>
          </w:p>
        </w:tc>
      </w:tr>
    </w:tbl>
    <w:p w14:paraId="58396A0C" w14:textId="77777777" w:rsidR="00627B30" w:rsidRDefault="00627B30" w:rsidP="00A76940">
      <w:pPr>
        <w:ind w:right="180"/>
      </w:pPr>
    </w:p>
    <w:sectPr w:rsidR="00627B30" w:rsidSect="009803C4">
      <w:footerReference w:type="default" r:id="rId13"/>
      <w:pgSz w:w="12240" w:h="15840"/>
      <w:pgMar w:top="450" w:right="1440" w:bottom="180" w:left="12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7F142" w14:textId="77777777" w:rsidR="005101D4" w:rsidRDefault="005101D4">
      <w:r>
        <w:separator/>
      </w:r>
    </w:p>
  </w:endnote>
  <w:endnote w:type="continuationSeparator" w:id="0">
    <w:p w14:paraId="49FFA41E" w14:textId="77777777" w:rsidR="005101D4" w:rsidRDefault="0051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FBBC0" w14:textId="69D42900" w:rsidR="009803C4" w:rsidRDefault="009803C4">
    <w:pPr>
      <w:pStyle w:val="Footer"/>
    </w:pPr>
    <w:r w:rsidRPr="00524C3A">
      <w:rPr>
        <w:b/>
      </w:rPr>
      <w:t>Billingsley-National Tab</w:t>
    </w:r>
    <w:r w:rsidRPr="00524C3A">
      <w:rPr>
        <w:b/>
      </w:rPr>
      <w:ptab w:relativeTo="margin" w:alignment="center" w:leader="none"/>
    </w:r>
    <w:r>
      <w:ptab w:relativeTo="margin" w:alignment="right" w:leader="none"/>
    </w:r>
    <w:r w:rsidR="005317AC">
      <w:t>CW</w:t>
    </w:r>
    <w:r w:rsidR="001628B5">
      <w:t xml:space="preserve"> </w:t>
    </w:r>
    <w:r w:rsidR="00AB15AF">
      <w:t>3401 – ADG Suite 450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729B1" w14:textId="77777777" w:rsidR="005101D4" w:rsidRDefault="005101D4">
      <w:r>
        <w:separator/>
      </w:r>
    </w:p>
  </w:footnote>
  <w:footnote w:type="continuationSeparator" w:id="0">
    <w:p w14:paraId="17FD1953" w14:textId="77777777" w:rsidR="005101D4" w:rsidRDefault="00510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57AA"/>
    <w:multiLevelType w:val="hybridMultilevel"/>
    <w:tmpl w:val="A034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52D28"/>
    <w:multiLevelType w:val="hybridMultilevel"/>
    <w:tmpl w:val="FE4E91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B12E8"/>
    <w:multiLevelType w:val="hybridMultilevel"/>
    <w:tmpl w:val="19D462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1F47"/>
    <w:multiLevelType w:val="hybridMultilevel"/>
    <w:tmpl w:val="5AD27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776E0"/>
    <w:multiLevelType w:val="hybridMultilevel"/>
    <w:tmpl w:val="64300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67EB6"/>
    <w:multiLevelType w:val="hybridMultilevel"/>
    <w:tmpl w:val="B80299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DD5969"/>
    <w:multiLevelType w:val="hybridMultilevel"/>
    <w:tmpl w:val="40E85E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966AE3"/>
    <w:multiLevelType w:val="hybridMultilevel"/>
    <w:tmpl w:val="8E40C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63A48"/>
    <w:multiLevelType w:val="hybridMultilevel"/>
    <w:tmpl w:val="37787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C10D2"/>
    <w:multiLevelType w:val="hybridMultilevel"/>
    <w:tmpl w:val="18C4971C"/>
    <w:lvl w:ilvl="0" w:tplc="9B42BD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C288A"/>
    <w:multiLevelType w:val="hybridMultilevel"/>
    <w:tmpl w:val="EC7CE950"/>
    <w:lvl w:ilvl="0" w:tplc="FB78A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13805"/>
    <w:multiLevelType w:val="hybridMultilevel"/>
    <w:tmpl w:val="49745710"/>
    <w:lvl w:ilvl="0" w:tplc="18A01B9A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 w15:restartNumberingAfterBreak="0">
    <w:nsid w:val="48180021"/>
    <w:multiLevelType w:val="hybridMultilevel"/>
    <w:tmpl w:val="C78A97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042D9"/>
    <w:multiLevelType w:val="hybridMultilevel"/>
    <w:tmpl w:val="675A6D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449D1"/>
    <w:multiLevelType w:val="hybridMultilevel"/>
    <w:tmpl w:val="392232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B13BE8"/>
    <w:multiLevelType w:val="hybridMultilevel"/>
    <w:tmpl w:val="E5601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85D57"/>
    <w:multiLevelType w:val="hybridMultilevel"/>
    <w:tmpl w:val="287EB3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77D1D"/>
    <w:multiLevelType w:val="hybridMultilevel"/>
    <w:tmpl w:val="2F1A624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75E0759B"/>
    <w:multiLevelType w:val="hybridMultilevel"/>
    <w:tmpl w:val="3FEEF25C"/>
    <w:lvl w:ilvl="0" w:tplc="0409000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7D6D02FC"/>
    <w:multiLevelType w:val="hybridMultilevel"/>
    <w:tmpl w:val="C274732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335348020">
    <w:abstractNumId w:val="16"/>
  </w:num>
  <w:num w:numId="2" w16cid:durableId="976765587">
    <w:abstractNumId w:val="3"/>
  </w:num>
  <w:num w:numId="3" w16cid:durableId="1815947359">
    <w:abstractNumId w:val="13"/>
  </w:num>
  <w:num w:numId="4" w16cid:durableId="430584530">
    <w:abstractNumId w:val="2"/>
  </w:num>
  <w:num w:numId="5" w16cid:durableId="332731784">
    <w:abstractNumId w:val="15"/>
  </w:num>
  <w:num w:numId="6" w16cid:durableId="2145999239">
    <w:abstractNumId w:val="8"/>
  </w:num>
  <w:num w:numId="7" w16cid:durableId="196813855">
    <w:abstractNumId w:val="7"/>
  </w:num>
  <w:num w:numId="8" w16cid:durableId="282613000">
    <w:abstractNumId w:val="1"/>
  </w:num>
  <w:num w:numId="9" w16cid:durableId="1044215576">
    <w:abstractNumId w:val="6"/>
  </w:num>
  <w:num w:numId="10" w16cid:durableId="481120332">
    <w:abstractNumId w:val="17"/>
  </w:num>
  <w:num w:numId="11" w16cid:durableId="680201131">
    <w:abstractNumId w:val="14"/>
  </w:num>
  <w:num w:numId="12" w16cid:durableId="1672953724">
    <w:abstractNumId w:val="5"/>
  </w:num>
  <w:num w:numId="13" w16cid:durableId="1089545002">
    <w:abstractNumId w:val="18"/>
  </w:num>
  <w:num w:numId="14" w16cid:durableId="982735671">
    <w:abstractNumId w:val="19"/>
  </w:num>
  <w:num w:numId="15" w16cid:durableId="1737507755">
    <w:abstractNumId w:val="4"/>
  </w:num>
  <w:num w:numId="16" w16cid:durableId="1983151936">
    <w:abstractNumId w:val="0"/>
  </w:num>
  <w:num w:numId="17" w16cid:durableId="1250233317">
    <w:abstractNumId w:val="10"/>
  </w:num>
  <w:num w:numId="18" w16cid:durableId="25835623">
    <w:abstractNumId w:val="11"/>
  </w:num>
  <w:num w:numId="19" w16cid:durableId="132141590">
    <w:abstractNumId w:val="9"/>
  </w:num>
  <w:num w:numId="20" w16cid:durableId="2874707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zMjU1s7A0MDM0NLVQ0lEKTi0uzszPAykwrAUAeeuM4iwAAAA="/>
  </w:docVars>
  <w:rsids>
    <w:rsidRoot w:val="00FB4BD6"/>
    <w:rsid w:val="00011CD8"/>
    <w:rsid w:val="00022A24"/>
    <w:rsid w:val="00042FB1"/>
    <w:rsid w:val="000450E5"/>
    <w:rsid w:val="00051FFC"/>
    <w:rsid w:val="0009283B"/>
    <w:rsid w:val="000A4FA8"/>
    <w:rsid w:val="000D2708"/>
    <w:rsid w:val="000D5649"/>
    <w:rsid w:val="000E7066"/>
    <w:rsid w:val="001051E5"/>
    <w:rsid w:val="001059FA"/>
    <w:rsid w:val="00107395"/>
    <w:rsid w:val="00117A92"/>
    <w:rsid w:val="00132A88"/>
    <w:rsid w:val="00147BD4"/>
    <w:rsid w:val="001511D0"/>
    <w:rsid w:val="00151E2B"/>
    <w:rsid w:val="001628B5"/>
    <w:rsid w:val="001726A0"/>
    <w:rsid w:val="001C085F"/>
    <w:rsid w:val="002242A7"/>
    <w:rsid w:val="00226C0E"/>
    <w:rsid w:val="002532BE"/>
    <w:rsid w:val="002654E0"/>
    <w:rsid w:val="00267147"/>
    <w:rsid w:val="0027076D"/>
    <w:rsid w:val="0027490B"/>
    <w:rsid w:val="00283B95"/>
    <w:rsid w:val="002A489A"/>
    <w:rsid w:val="002B3DCE"/>
    <w:rsid w:val="002B5D4D"/>
    <w:rsid w:val="002C392B"/>
    <w:rsid w:val="002C3F1B"/>
    <w:rsid w:val="002C77FD"/>
    <w:rsid w:val="0031151F"/>
    <w:rsid w:val="00324302"/>
    <w:rsid w:val="0032696C"/>
    <w:rsid w:val="00330751"/>
    <w:rsid w:val="0033182B"/>
    <w:rsid w:val="00335E13"/>
    <w:rsid w:val="00342A33"/>
    <w:rsid w:val="00343973"/>
    <w:rsid w:val="00352FA5"/>
    <w:rsid w:val="00356482"/>
    <w:rsid w:val="0036079F"/>
    <w:rsid w:val="00366EC3"/>
    <w:rsid w:val="003B0FA6"/>
    <w:rsid w:val="003C70DC"/>
    <w:rsid w:val="003D43C0"/>
    <w:rsid w:val="003E52E0"/>
    <w:rsid w:val="004015DA"/>
    <w:rsid w:val="00403640"/>
    <w:rsid w:val="0042249D"/>
    <w:rsid w:val="0043657E"/>
    <w:rsid w:val="0043788E"/>
    <w:rsid w:val="00441931"/>
    <w:rsid w:val="00462D2D"/>
    <w:rsid w:val="00463B56"/>
    <w:rsid w:val="00481A5E"/>
    <w:rsid w:val="00483970"/>
    <w:rsid w:val="0049120E"/>
    <w:rsid w:val="004B1164"/>
    <w:rsid w:val="004B2C1D"/>
    <w:rsid w:val="004D303F"/>
    <w:rsid w:val="004E3061"/>
    <w:rsid w:val="004E3A76"/>
    <w:rsid w:val="004F3AFE"/>
    <w:rsid w:val="004F4ADE"/>
    <w:rsid w:val="005101D4"/>
    <w:rsid w:val="00511941"/>
    <w:rsid w:val="00524C3A"/>
    <w:rsid w:val="005317AC"/>
    <w:rsid w:val="00531C9E"/>
    <w:rsid w:val="0053244A"/>
    <w:rsid w:val="00543B0B"/>
    <w:rsid w:val="005456EB"/>
    <w:rsid w:val="00555F52"/>
    <w:rsid w:val="005866E0"/>
    <w:rsid w:val="005901E2"/>
    <w:rsid w:val="00591EDB"/>
    <w:rsid w:val="005973D9"/>
    <w:rsid w:val="005B3EC2"/>
    <w:rsid w:val="005E12EC"/>
    <w:rsid w:val="00627B30"/>
    <w:rsid w:val="006301A0"/>
    <w:rsid w:val="00630B7E"/>
    <w:rsid w:val="00654B20"/>
    <w:rsid w:val="00661011"/>
    <w:rsid w:val="00675BB8"/>
    <w:rsid w:val="00687E44"/>
    <w:rsid w:val="00692EB8"/>
    <w:rsid w:val="006A00AE"/>
    <w:rsid w:val="006B0E9E"/>
    <w:rsid w:val="006B1B0E"/>
    <w:rsid w:val="006B37DF"/>
    <w:rsid w:val="006B657E"/>
    <w:rsid w:val="006B7E47"/>
    <w:rsid w:val="006C484F"/>
    <w:rsid w:val="006D1754"/>
    <w:rsid w:val="006D1BA9"/>
    <w:rsid w:val="006F4DF4"/>
    <w:rsid w:val="007009F6"/>
    <w:rsid w:val="00700CE7"/>
    <w:rsid w:val="00720419"/>
    <w:rsid w:val="0072096D"/>
    <w:rsid w:val="0072794D"/>
    <w:rsid w:val="00732C43"/>
    <w:rsid w:val="0073671E"/>
    <w:rsid w:val="00740CA0"/>
    <w:rsid w:val="00746868"/>
    <w:rsid w:val="00774779"/>
    <w:rsid w:val="00777EF0"/>
    <w:rsid w:val="0079537B"/>
    <w:rsid w:val="007958AE"/>
    <w:rsid w:val="007A4FE9"/>
    <w:rsid w:val="007C0086"/>
    <w:rsid w:val="007C1BE1"/>
    <w:rsid w:val="007C1F77"/>
    <w:rsid w:val="007C35C4"/>
    <w:rsid w:val="007E3F7A"/>
    <w:rsid w:val="007F196D"/>
    <w:rsid w:val="00800394"/>
    <w:rsid w:val="00802C0E"/>
    <w:rsid w:val="00804733"/>
    <w:rsid w:val="00817559"/>
    <w:rsid w:val="0082374E"/>
    <w:rsid w:val="00834568"/>
    <w:rsid w:val="008454C8"/>
    <w:rsid w:val="00853A44"/>
    <w:rsid w:val="008626A7"/>
    <w:rsid w:val="008652A2"/>
    <w:rsid w:val="00871589"/>
    <w:rsid w:val="00873589"/>
    <w:rsid w:val="008A3FBD"/>
    <w:rsid w:val="008B4045"/>
    <w:rsid w:val="008B67A4"/>
    <w:rsid w:val="008C0622"/>
    <w:rsid w:val="008C2DA7"/>
    <w:rsid w:val="008D2C0B"/>
    <w:rsid w:val="008D6EFE"/>
    <w:rsid w:val="008E66EC"/>
    <w:rsid w:val="008F77C1"/>
    <w:rsid w:val="0091439A"/>
    <w:rsid w:val="00920F87"/>
    <w:rsid w:val="009233BE"/>
    <w:rsid w:val="0092504C"/>
    <w:rsid w:val="00926CD2"/>
    <w:rsid w:val="00930C3F"/>
    <w:rsid w:val="00936E0F"/>
    <w:rsid w:val="00937E04"/>
    <w:rsid w:val="00942807"/>
    <w:rsid w:val="00944F68"/>
    <w:rsid w:val="009660BE"/>
    <w:rsid w:val="009803C4"/>
    <w:rsid w:val="00987823"/>
    <w:rsid w:val="009A0C11"/>
    <w:rsid w:val="009A4EC2"/>
    <w:rsid w:val="009A78A6"/>
    <w:rsid w:val="009B4826"/>
    <w:rsid w:val="009C3A0C"/>
    <w:rsid w:val="009C668A"/>
    <w:rsid w:val="009D7703"/>
    <w:rsid w:val="00A01C99"/>
    <w:rsid w:val="00A0240C"/>
    <w:rsid w:val="00A12D3B"/>
    <w:rsid w:val="00A40F41"/>
    <w:rsid w:val="00A479B3"/>
    <w:rsid w:val="00A76940"/>
    <w:rsid w:val="00A808A7"/>
    <w:rsid w:val="00A951A8"/>
    <w:rsid w:val="00A95DB7"/>
    <w:rsid w:val="00AB1057"/>
    <w:rsid w:val="00AB15AF"/>
    <w:rsid w:val="00AD239D"/>
    <w:rsid w:val="00B1100B"/>
    <w:rsid w:val="00B22269"/>
    <w:rsid w:val="00B2272E"/>
    <w:rsid w:val="00B26F60"/>
    <w:rsid w:val="00B3510B"/>
    <w:rsid w:val="00B516D3"/>
    <w:rsid w:val="00B7480C"/>
    <w:rsid w:val="00B84132"/>
    <w:rsid w:val="00B85740"/>
    <w:rsid w:val="00B86357"/>
    <w:rsid w:val="00BA32B5"/>
    <w:rsid w:val="00BD4B33"/>
    <w:rsid w:val="00BE7162"/>
    <w:rsid w:val="00C01EB4"/>
    <w:rsid w:val="00C117E3"/>
    <w:rsid w:val="00C16110"/>
    <w:rsid w:val="00C262A6"/>
    <w:rsid w:val="00C27CE5"/>
    <w:rsid w:val="00C441A0"/>
    <w:rsid w:val="00C44548"/>
    <w:rsid w:val="00C477FB"/>
    <w:rsid w:val="00C5775E"/>
    <w:rsid w:val="00C62265"/>
    <w:rsid w:val="00C80B0B"/>
    <w:rsid w:val="00C9006E"/>
    <w:rsid w:val="00C92AF4"/>
    <w:rsid w:val="00CA2C9A"/>
    <w:rsid w:val="00CB453D"/>
    <w:rsid w:val="00CB7A06"/>
    <w:rsid w:val="00CC0306"/>
    <w:rsid w:val="00CD1F61"/>
    <w:rsid w:val="00CD52B0"/>
    <w:rsid w:val="00CE16FE"/>
    <w:rsid w:val="00CE46DC"/>
    <w:rsid w:val="00CE5C1F"/>
    <w:rsid w:val="00CE6F63"/>
    <w:rsid w:val="00CF237B"/>
    <w:rsid w:val="00D10E8D"/>
    <w:rsid w:val="00D11F9B"/>
    <w:rsid w:val="00D153E0"/>
    <w:rsid w:val="00D168C4"/>
    <w:rsid w:val="00D55989"/>
    <w:rsid w:val="00D64661"/>
    <w:rsid w:val="00D67665"/>
    <w:rsid w:val="00D83277"/>
    <w:rsid w:val="00D92E2A"/>
    <w:rsid w:val="00D94399"/>
    <w:rsid w:val="00D94FBB"/>
    <w:rsid w:val="00D97DDA"/>
    <w:rsid w:val="00DA0AA2"/>
    <w:rsid w:val="00DB03FC"/>
    <w:rsid w:val="00DB1D8D"/>
    <w:rsid w:val="00DC614B"/>
    <w:rsid w:val="00DD70E5"/>
    <w:rsid w:val="00E17780"/>
    <w:rsid w:val="00E266E5"/>
    <w:rsid w:val="00E30355"/>
    <w:rsid w:val="00E42EA7"/>
    <w:rsid w:val="00E4679F"/>
    <w:rsid w:val="00E852DB"/>
    <w:rsid w:val="00EA0170"/>
    <w:rsid w:val="00EA268D"/>
    <w:rsid w:val="00EA5CD4"/>
    <w:rsid w:val="00EE46E5"/>
    <w:rsid w:val="00EF2385"/>
    <w:rsid w:val="00F0126C"/>
    <w:rsid w:val="00F03F5D"/>
    <w:rsid w:val="00F215F0"/>
    <w:rsid w:val="00F22167"/>
    <w:rsid w:val="00F23C9C"/>
    <w:rsid w:val="00F54D03"/>
    <w:rsid w:val="00F67BCC"/>
    <w:rsid w:val="00F82ABE"/>
    <w:rsid w:val="00F87BCC"/>
    <w:rsid w:val="00F93639"/>
    <w:rsid w:val="00F93D89"/>
    <w:rsid w:val="00FA4B65"/>
    <w:rsid w:val="00FB4BD6"/>
    <w:rsid w:val="00FC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B0FB09"/>
  <w15:docId w15:val="{6EAD75AE-5553-4025-B6F8-8DC6CF24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69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6940"/>
    <w:pPr>
      <w:tabs>
        <w:tab w:val="center" w:pos="4320"/>
        <w:tab w:val="right" w:pos="8640"/>
      </w:tabs>
    </w:pPr>
  </w:style>
  <w:style w:type="character" w:styleId="Hyperlink">
    <w:name w:val="Hyperlink"/>
    <w:rsid w:val="000928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3B0B"/>
    <w:pPr>
      <w:ind w:left="720"/>
    </w:pPr>
  </w:style>
  <w:style w:type="character" w:customStyle="1" w:styleId="apple-converted-space">
    <w:name w:val="apple-converted-space"/>
    <w:rsid w:val="00D64661"/>
  </w:style>
  <w:style w:type="paragraph" w:styleId="BalloonText">
    <w:name w:val="Balloon Text"/>
    <w:basedOn w:val="Normal"/>
    <w:link w:val="BalloonTextChar"/>
    <w:uiPriority w:val="99"/>
    <w:semiHidden/>
    <w:unhideWhenUsed/>
    <w:rsid w:val="00D6766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76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803C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15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cummings@billingsleyco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d5787-8033-417d-8d26-bf00747a0ed7" xsi:nil="true"/>
    <lcf76f155ced4ddcb4097134ff3c332f xmlns="3e5f4dc7-86db-493c-83c7-3c76659763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B34604661AA48A7165EE234C76FC5" ma:contentTypeVersion="16" ma:contentTypeDescription="Create a new document." ma:contentTypeScope="" ma:versionID="54e4545fc32e3b672cf3b7df0613b785">
  <xsd:schema xmlns:xsd="http://www.w3.org/2001/XMLSchema" xmlns:xs="http://www.w3.org/2001/XMLSchema" xmlns:p="http://schemas.microsoft.com/office/2006/metadata/properties" xmlns:ns2="3e5f4dc7-86db-493c-83c7-3c7665976394" xmlns:ns3="616d5787-8033-417d-8d26-bf00747a0ed7" targetNamespace="http://schemas.microsoft.com/office/2006/metadata/properties" ma:root="true" ma:fieldsID="e571b4c7a2090382625cc6123eb0ded3" ns2:_="" ns3:_="">
    <xsd:import namespace="3e5f4dc7-86db-493c-83c7-3c7665976394"/>
    <xsd:import namespace="616d5787-8033-417d-8d26-bf00747a0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f4dc7-86db-493c-83c7-3c7665976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4203d5-6486-42c2-9cc6-c5c81f5cf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d5787-8033-417d-8d26-bf00747a0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8c3431-5a97-4843-996c-26c318752ec0}" ma:internalName="TaxCatchAll" ma:showField="CatchAllData" ma:web="616d5787-8033-417d-8d26-bf00747a0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FA08F-8B01-4BA3-B3BB-44B6504CC105}">
  <ds:schemaRefs>
    <ds:schemaRef ds:uri="http://schemas.microsoft.com/office/2006/metadata/properties"/>
    <ds:schemaRef ds:uri="http://schemas.microsoft.com/office/infopath/2007/PartnerControls"/>
    <ds:schemaRef ds:uri="616d5787-8033-417d-8d26-bf00747a0ed7"/>
    <ds:schemaRef ds:uri="3e5f4dc7-86db-493c-83c7-3c7665976394"/>
  </ds:schemaRefs>
</ds:datastoreItem>
</file>

<file path=customXml/itemProps2.xml><?xml version="1.0" encoding="utf-8"?>
<ds:datastoreItem xmlns:ds="http://schemas.openxmlformats.org/officeDocument/2006/customXml" ds:itemID="{AF1C1ECF-630B-4F5C-B1E3-0E45F35B3A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408395-F1FF-4E74-8A05-CD5459632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f4dc7-86db-493c-83c7-3c7665976394"/>
    <ds:schemaRef ds:uri="616d5787-8033-417d-8d26-bf00747a0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52D03B-4710-4CC3-8570-098B5E63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1021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 SOLUTIONS</vt:lpstr>
    </vt:vector>
  </TitlesOfParts>
  <Company>Hewlett-Packard Company</Company>
  <LinksUpToDate>false</LinksUpToDate>
  <CharactersWithSpaces>6486</CharactersWithSpaces>
  <SharedDoc>false</SharedDoc>
  <HLinks>
    <vt:vector size="6" baseType="variant">
      <vt:variant>
        <vt:i4>7143497</vt:i4>
      </vt:variant>
      <vt:variant>
        <vt:i4>3</vt:i4>
      </vt:variant>
      <vt:variant>
        <vt:i4>0</vt:i4>
      </vt:variant>
      <vt:variant>
        <vt:i4>5</vt:i4>
      </vt:variant>
      <vt:variant>
        <vt:lpwstr>mailto:joe@airsolution.com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SOLUTIONS</dc:title>
  <dc:subject/>
  <dc:creator>daniel hertenstein</dc:creator>
  <cp:keywords/>
  <dc:description/>
  <cp:lastModifiedBy>Jennifer Burns</cp:lastModifiedBy>
  <cp:revision>3</cp:revision>
  <cp:lastPrinted>2019-12-03T14:19:00Z</cp:lastPrinted>
  <dcterms:created xsi:type="dcterms:W3CDTF">2023-03-10T14:24:00Z</dcterms:created>
  <dcterms:modified xsi:type="dcterms:W3CDTF">2023-03-10T14:25:00Z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0x010100DD6B34604661AA48A7165EE234C76FC5</vt:lpwstr>
  </property>
  <property fmtid="{D5CDD505-2E9C-101B-9397-08002B2CF9AE}" pid="3" name="MediaServiceImageTags">
    <vt:lpwstr/>
  </property>
</Properties>
</file>